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74A" w:rsidRDefault="0056474A" w:rsidP="0056474A">
      <w:pPr>
        <w:pStyle w:val="Navadensplet"/>
      </w:pPr>
      <w:r>
        <w:rPr>
          <w:noProof/>
        </w:rPr>
        <w:drawing>
          <wp:inline distT="0" distB="0" distL="0" distR="0">
            <wp:extent cx="6099177" cy="1509146"/>
            <wp:effectExtent l="0" t="0" r="0" b="0"/>
            <wp:docPr id="1" name="Slika 1" descr="C:\Users\ANDREJAMK\Desktop\članki - spletna stran\VČ, 6.2.24\PRP-EU-SLO-barv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AMK\Desktop\članki - spletna stran\VČ, 6.2.24\PRP-EU-SLO-barvn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88581" cy="1531268"/>
                    </a:xfrm>
                    <a:prstGeom prst="rect">
                      <a:avLst/>
                    </a:prstGeom>
                    <a:noFill/>
                    <a:ln>
                      <a:noFill/>
                    </a:ln>
                  </pic:spPr>
                </pic:pic>
              </a:graphicData>
            </a:graphic>
          </wp:inline>
        </w:drawing>
      </w:r>
    </w:p>
    <w:p w:rsidR="0056474A" w:rsidRDefault="0056474A" w:rsidP="00812CCD">
      <w:pPr>
        <w:jc w:val="both"/>
        <w:rPr>
          <w:rFonts w:cstheme="minorHAnsi"/>
          <w:bCs/>
          <w:color w:val="2E74B5" w:themeColor="accent1" w:themeShade="BF"/>
          <w:sz w:val="28"/>
          <w:szCs w:val="28"/>
        </w:rPr>
      </w:pPr>
    </w:p>
    <w:p w:rsidR="00812CCD" w:rsidRPr="00202FC5" w:rsidRDefault="00202FC5" w:rsidP="00812CCD">
      <w:pPr>
        <w:jc w:val="both"/>
        <w:rPr>
          <w:rFonts w:cstheme="minorHAnsi"/>
          <w:bCs/>
          <w:color w:val="2E74B5" w:themeColor="accent1" w:themeShade="BF"/>
          <w:sz w:val="28"/>
          <w:szCs w:val="28"/>
        </w:rPr>
      </w:pPr>
      <w:r>
        <w:rPr>
          <w:rFonts w:cstheme="minorHAnsi"/>
          <w:bCs/>
          <w:color w:val="2E74B5" w:themeColor="accent1" w:themeShade="BF"/>
          <w:sz w:val="28"/>
          <w:szCs w:val="28"/>
        </w:rPr>
        <w:t>Pilotni projekt</w:t>
      </w:r>
      <w:r w:rsidR="00812CCD" w:rsidRPr="00A6337C">
        <w:rPr>
          <w:rFonts w:cstheme="minorHAnsi"/>
          <w:b/>
          <w:bCs/>
          <w:color w:val="2E74B5" w:themeColor="accent1" w:themeShade="BF"/>
          <w:sz w:val="28"/>
          <w:szCs w:val="28"/>
        </w:rPr>
        <w:t xml:space="preserve"> </w:t>
      </w:r>
      <w:r>
        <w:rPr>
          <w:rFonts w:cstheme="minorHAnsi"/>
          <w:b/>
          <w:bCs/>
          <w:color w:val="2E74B5" w:themeColor="accent1" w:themeShade="BF"/>
          <w:sz w:val="28"/>
          <w:szCs w:val="28"/>
        </w:rPr>
        <w:t>»</w:t>
      </w:r>
      <w:r w:rsidR="00812CCD" w:rsidRPr="00A6337C">
        <w:rPr>
          <w:rFonts w:cstheme="minorHAnsi"/>
          <w:b/>
          <w:bCs/>
          <w:color w:val="2E74B5" w:themeColor="accent1" w:themeShade="BF"/>
          <w:sz w:val="28"/>
          <w:szCs w:val="28"/>
        </w:rPr>
        <w:t>Uvajanje novih tehnologij setve z dronom</w:t>
      </w:r>
      <w:r>
        <w:rPr>
          <w:rFonts w:cstheme="minorHAnsi"/>
          <w:b/>
          <w:bCs/>
          <w:color w:val="2E74B5" w:themeColor="accent1" w:themeShade="BF"/>
          <w:sz w:val="28"/>
          <w:szCs w:val="28"/>
        </w:rPr>
        <w:t>«</w:t>
      </w:r>
      <w:r w:rsidR="00812CCD" w:rsidRPr="00A6337C">
        <w:rPr>
          <w:rFonts w:cstheme="minorHAnsi"/>
          <w:b/>
          <w:bCs/>
          <w:color w:val="2E74B5" w:themeColor="accent1" w:themeShade="BF"/>
          <w:sz w:val="28"/>
          <w:szCs w:val="28"/>
        </w:rPr>
        <w:t xml:space="preserve">; </w:t>
      </w:r>
      <w:r w:rsidR="00812CCD" w:rsidRPr="00202FC5">
        <w:rPr>
          <w:rFonts w:cstheme="minorHAnsi"/>
          <w:bCs/>
          <w:color w:val="2E74B5" w:themeColor="accent1" w:themeShade="BF"/>
          <w:sz w:val="28"/>
          <w:szCs w:val="28"/>
        </w:rPr>
        <w:t>podukrep 16.2 podpora za pilotne projekte ter za razvoj novih proizvodov, praks, procesov in tehnologij</w:t>
      </w:r>
    </w:p>
    <w:p w:rsidR="00812CCD" w:rsidRPr="007116A5" w:rsidRDefault="00812CCD" w:rsidP="00812CCD">
      <w:pPr>
        <w:spacing w:line="240" w:lineRule="auto"/>
        <w:rPr>
          <w:rFonts w:cstheme="minorHAnsi"/>
          <w:b/>
          <w:bCs/>
          <w:sz w:val="24"/>
          <w:szCs w:val="24"/>
        </w:rPr>
      </w:pPr>
      <w:r w:rsidRPr="007116A5">
        <w:rPr>
          <w:rFonts w:cstheme="minorHAnsi"/>
          <w:b/>
          <w:bCs/>
          <w:sz w:val="24"/>
          <w:szCs w:val="24"/>
        </w:rPr>
        <w:t>Naslov projekta:</w:t>
      </w:r>
    </w:p>
    <w:p w:rsidR="00812CCD" w:rsidRPr="00202FC5" w:rsidRDefault="00812CCD" w:rsidP="00812CCD">
      <w:pPr>
        <w:spacing w:line="240" w:lineRule="auto"/>
        <w:rPr>
          <w:rFonts w:cstheme="minorHAnsi"/>
          <w:bCs/>
          <w:caps/>
          <w:sz w:val="24"/>
          <w:szCs w:val="24"/>
        </w:rPr>
      </w:pPr>
      <w:r w:rsidRPr="00202FC5">
        <w:rPr>
          <w:rFonts w:cstheme="minorHAnsi"/>
          <w:bCs/>
          <w:caps/>
          <w:sz w:val="24"/>
          <w:szCs w:val="24"/>
        </w:rPr>
        <w:t>Uvajanje novih tehnologij setve z dronom</w:t>
      </w:r>
    </w:p>
    <w:p w:rsidR="00812CCD" w:rsidRPr="007116A5" w:rsidRDefault="00812CCD" w:rsidP="00812CCD">
      <w:pPr>
        <w:spacing w:line="240" w:lineRule="auto"/>
        <w:rPr>
          <w:rFonts w:cstheme="minorHAnsi"/>
          <w:b/>
          <w:bCs/>
          <w:sz w:val="24"/>
          <w:szCs w:val="24"/>
        </w:rPr>
      </w:pPr>
      <w:r w:rsidRPr="007116A5">
        <w:rPr>
          <w:rFonts w:cstheme="minorHAnsi"/>
          <w:b/>
          <w:bCs/>
          <w:sz w:val="24"/>
          <w:szCs w:val="24"/>
        </w:rPr>
        <w:t>Območje izvajanja projekta:</w:t>
      </w:r>
    </w:p>
    <w:p w:rsidR="00812CCD" w:rsidRPr="007116A5" w:rsidRDefault="00812CCD" w:rsidP="00812CCD">
      <w:pPr>
        <w:spacing w:line="240" w:lineRule="auto"/>
        <w:rPr>
          <w:rFonts w:cstheme="minorHAnsi"/>
          <w:bCs/>
          <w:sz w:val="24"/>
          <w:szCs w:val="24"/>
        </w:rPr>
      </w:pPr>
      <w:r w:rsidRPr="007116A5">
        <w:rPr>
          <w:rFonts w:cstheme="minorHAnsi"/>
          <w:bCs/>
          <w:sz w:val="24"/>
          <w:szCs w:val="24"/>
        </w:rPr>
        <w:t>Slovenija, EU</w:t>
      </w:r>
    </w:p>
    <w:p w:rsidR="00812CCD" w:rsidRPr="007116A5" w:rsidRDefault="00812CCD" w:rsidP="00812CCD">
      <w:pPr>
        <w:spacing w:line="240" w:lineRule="auto"/>
        <w:rPr>
          <w:rFonts w:cstheme="minorHAnsi"/>
          <w:b/>
          <w:bCs/>
          <w:sz w:val="24"/>
          <w:szCs w:val="24"/>
        </w:rPr>
      </w:pPr>
      <w:r w:rsidRPr="007116A5">
        <w:rPr>
          <w:rFonts w:cstheme="minorHAnsi"/>
          <w:b/>
          <w:bCs/>
          <w:sz w:val="24"/>
          <w:szCs w:val="24"/>
        </w:rPr>
        <w:t>Vrsta projekta:</w:t>
      </w:r>
    </w:p>
    <w:p w:rsidR="00812CCD" w:rsidRPr="007116A5" w:rsidRDefault="00812CCD" w:rsidP="00812CCD">
      <w:pPr>
        <w:spacing w:line="240" w:lineRule="auto"/>
        <w:rPr>
          <w:rFonts w:cstheme="minorHAnsi"/>
          <w:bCs/>
          <w:sz w:val="24"/>
          <w:szCs w:val="24"/>
        </w:rPr>
      </w:pPr>
      <w:r w:rsidRPr="007116A5">
        <w:rPr>
          <w:rFonts w:cstheme="minorHAnsi"/>
          <w:bCs/>
          <w:sz w:val="24"/>
          <w:szCs w:val="24"/>
        </w:rPr>
        <w:t>Operativna skupina</w:t>
      </w:r>
    </w:p>
    <w:p w:rsidR="00812CCD" w:rsidRPr="007116A5" w:rsidRDefault="00812CCD" w:rsidP="00812CCD">
      <w:pPr>
        <w:spacing w:line="240" w:lineRule="auto"/>
        <w:rPr>
          <w:rFonts w:cstheme="minorHAnsi"/>
          <w:b/>
          <w:bCs/>
          <w:sz w:val="24"/>
          <w:szCs w:val="24"/>
        </w:rPr>
      </w:pPr>
      <w:r w:rsidRPr="007116A5">
        <w:rPr>
          <w:rFonts w:cstheme="minorHAnsi"/>
          <w:b/>
          <w:bCs/>
          <w:sz w:val="24"/>
          <w:szCs w:val="24"/>
        </w:rPr>
        <w:t>PARTNERJI PROJEKTA</w:t>
      </w:r>
    </w:p>
    <w:p w:rsidR="00812CCD" w:rsidRPr="007116A5" w:rsidRDefault="00812CCD" w:rsidP="00812CCD">
      <w:pPr>
        <w:spacing w:line="240" w:lineRule="auto"/>
        <w:jc w:val="both"/>
        <w:rPr>
          <w:rFonts w:cstheme="minorHAnsi"/>
          <w:b/>
          <w:bCs/>
          <w:sz w:val="24"/>
          <w:szCs w:val="24"/>
        </w:rPr>
      </w:pPr>
      <w:r w:rsidRPr="007116A5">
        <w:rPr>
          <w:rFonts w:cstheme="minorHAnsi"/>
          <w:b/>
          <w:bCs/>
          <w:sz w:val="24"/>
          <w:szCs w:val="24"/>
        </w:rPr>
        <w:t>Koordinator-vodilni partner:</w:t>
      </w:r>
    </w:p>
    <w:p w:rsidR="00812CCD" w:rsidRPr="007116A5" w:rsidRDefault="00812CCD" w:rsidP="00812CCD">
      <w:pPr>
        <w:spacing w:line="240" w:lineRule="auto"/>
        <w:jc w:val="both"/>
        <w:rPr>
          <w:rFonts w:cstheme="minorHAnsi"/>
          <w:caps/>
          <w:sz w:val="24"/>
          <w:szCs w:val="24"/>
        </w:rPr>
      </w:pPr>
      <w:r w:rsidRPr="007116A5">
        <w:rPr>
          <w:rFonts w:cstheme="minorHAnsi"/>
          <w:caps/>
          <w:sz w:val="24"/>
          <w:szCs w:val="24"/>
        </w:rPr>
        <w:t xml:space="preserve">Geodetski zavod Celje, </w:t>
      </w:r>
      <w:r w:rsidRPr="007116A5">
        <w:rPr>
          <w:rFonts w:cstheme="minorHAnsi"/>
          <w:sz w:val="24"/>
          <w:szCs w:val="24"/>
        </w:rPr>
        <w:t>d.o.o.</w:t>
      </w:r>
    </w:p>
    <w:p w:rsidR="00812CCD" w:rsidRPr="007116A5" w:rsidRDefault="00812CCD" w:rsidP="00812CCD">
      <w:pPr>
        <w:spacing w:line="240" w:lineRule="auto"/>
        <w:jc w:val="both"/>
        <w:rPr>
          <w:rFonts w:cstheme="minorHAnsi"/>
          <w:b/>
          <w:bCs/>
          <w:sz w:val="24"/>
          <w:szCs w:val="24"/>
        </w:rPr>
      </w:pPr>
      <w:r w:rsidRPr="007116A5">
        <w:rPr>
          <w:rFonts w:cstheme="minorHAnsi"/>
          <w:b/>
          <w:bCs/>
          <w:sz w:val="24"/>
          <w:szCs w:val="24"/>
        </w:rPr>
        <w:t>Partnerji pri projektu:</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Simon Čretnik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Kmetijsko gozdarski Zavod Celje</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Kmetijsko gozdarski Zavod Ptuj</w:t>
      </w:r>
      <w:r w:rsidR="00521945">
        <w:rPr>
          <w:rFonts w:cstheme="minorHAnsi"/>
          <w:caps/>
          <w:sz w:val="24"/>
          <w:szCs w:val="24"/>
        </w:rPr>
        <w:t>,</w:t>
      </w:r>
      <w:r w:rsidRPr="00202FC5">
        <w:rPr>
          <w:rFonts w:cstheme="minorHAnsi"/>
          <w:caps/>
          <w:sz w:val="24"/>
          <w:szCs w:val="24"/>
        </w:rPr>
        <w:t xml:space="preserve"> </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Šolski center Šentjur</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CEVEZ, Kristjan Bogataj s.p.</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 xml:space="preserve">Jeruzalem Ormož SAT </w:t>
      </w:r>
      <w:r w:rsidRPr="00202FC5">
        <w:rPr>
          <w:rFonts w:cstheme="minorHAnsi"/>
          <w:sz w:val="24"/>
          <w:szCs w:val="24"/>
        </w:rPr>
        <w:t>d.o.o.</w:t>
      </w:r>
      <w:r w:rsidR="00202FC5" w:rsidRPr="00202FC5">
        <w:rPr>
          <w:rFonts w:cstheme="minorHAnsi"/>
          <w:sz w:val="24"/>
          <w:szCs w:val="24"/>
        </w:rPr>
        <w:t xml:space="preserve"> </w:t>
      </w:r>
      <w:r w:rsidR="00202FC5" w:rsidRPr="00202FC5">
        <w:rPr>
          <w:rFonts w:cstheme="minorHAnsi"/>
          <w:caps/>
          <w:sz w:val="24"/>
          <w:szCs w:val="24"/>
        </w:rPr>
        <w:t>(</w:t>
      </w:r>
      <w:r w:rsidR="00202FC5" w:rsidRPr="00202FC5">
        <w:rPr>
          <w:rFonts w:cstheme="minorHAnsi"/>
          <w:sz w:val="24"/>
          <w:szCs w:val="24"/>
        </w:rPr>
        <w:t>kmetijsko gospodarstvo</w:t>
      </w:r>
      <w:r w:rsidR="00202FC5"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Leskovar Janja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Irgolič Aleš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Taciga Srečko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Žunkovič Boštjan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Galun Milan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812CCD" w:rsidRPr="00202FC5" w:rsidRDefault="00812CCD" w:rsidP="00202FC5">
      <w:pPr>
        <w:pStyle w:val="Odstavekseznama"/>
        <w:numPr>
          <w:ilvl w:val="0"/>
          <w:numId w:val="2"/>
        </w:numPr>
        <w:spacing w:line="240" w:lineRule="auto"/>
        <w:jc w:val="both"/>
        <w:rPr>
          <w:rFonts w:cstheme="minorHAnsi"/>
          <w:caps/>
          <w:sz w:val="24"/>
          <w:szCs w:val="24"/>
        </w:rPr>
      </w:pPr>
      <w:r w:rsidRPr="00202FC5">
        <w:rPr>
          <w:rFonts w:cstheme="minorHAnsi"/>
          <w:caps/>
          <w:sz w:val="24"/>
          <w:szCs w:val="24"/>
        </w:rPr>
        <w:t>Zdolšek Rok (</w:t>
      </w:r>
      <w:r w:rsidRPr="00202FC5">
        <w:rPr>
          <w:rFonts w:cstheme="minorHAnsi"/>
          <w:sz w:val="24"/>
          <w:szCs w:val="24"/>
        </w:rPr>
        <w:t>kmetijsko gospodarstvo</w:t>
      </w:r>
      <w:r w:rsidRPr="00202FC5">
        <w:rPr>
          <w:rFonts w:cstheme="minorHAnsi"/>
          <w:caps/>
          <w:sz w:val="24"/>
          <w:szCs w:val="24"/>
        </w:rPr>
        <w:t>)</w:t>
      </w:r>
      <w:r w:rsidR="00521945">
        <w:rPr>
          <w:rFonts w:cstheme="minorHAnsi"/>
          <w:caps/>
          <w:sz w:val="24"/>
          <w:szCs w:val="24"/>
        </w:rPr>
        <w:t>.</w:t>
      </w:r>
    </w:p>
    <w:p w:rsidR="002917E2" w:rsidRDefault="002917E2" w:rsidP="00812CCD">
      <w:pPr>
        <w:spacing w:line="240" w:lineRule="auto"/>
        <w:jc w:val="both"/>
        <w:rPr>
          <w:rFonts w:cstheme="minorHAnsi"/>
          <w:b/>
          <w:bCs/>
          <w:sz w:val="24"/>
          <w:szCs w:val="24"/>
        </w:rPr>
      </w:pPr>
    </w:p>
    <w:p w:rsidR="0056474A" w:rsidRDefault="0056474A" w:rsidP="00812CCD">
      <w:pPr>
        <w:spacing w:line="240" w:lineRule="auto"/>
        <w:jc w:val="both"/>
        <w:rPr>
          <w:rFonts w:cstheme="minorHAnsi"/>
          <w:b/>
          <w:bCs/>
          <w:sz w:val="24"/>
          <w:szCs w:val="24"/>
        </w:rPr>
      </w:pPr>
    </w:p>
    <w:p w:rsidR="00812CCD" w:rsidRPr="007116A5" w:rsidRDefault="00812CCD" w:rsidP="00812CCD">
      <w:pPr>
        <w:spacing w:line="240" w:lineRule="auto"/>
        <w:jc w:val="both"/>
        <w:rPr>
          <w:rFonts w:cstheme="minorHAnsi"/>
          <w:b/>
          <w:bCs/>
          <w:sz w:val="24"/>
          <w:szCs w:val="24"/>
        </w:rPr>
      </w:pPr>
      <w:r w:rsidRPr="007116A5">
        <w:rPr>
          <w:rFonts w:cstheme="minorHAnsi"/>
          <w:b/>
          <w:bCs/>
          <w:sz w:val="24"/>
          <w:szCs w:val="24"/>
        </w:rPr>
        <w:lastRenderedPageBreak/>
        <w:t>Povzetek in predstavitev projekta</w:t>
      </w:r>
    </w:p>
    <w:p w:rsidR="00812CCD" w:rsidRPr="007116A5" w:rsidRDefault="00812CCD" w:rsidP="00812CCD">
      <w:pPr>
        <w:spacing w:line="240" w:lineRule="auto"/>
        <w:jc w:val="both"/>
        <w:rPr>
          <w:rFonts w:cstheme="minorHAnsi"/>
          <w:bCs/>
          <w:sz w:val="24"/>
          <w:szCs w:val="24"/>
        </w:rPr>
      </w:pPr>
      <w:r w:rsidRPr="007116A5">
        <w:rPr>
          <w:rFonts w:cstheme="minorHAnsi"/>
          <w:bCs/>
          <w:sz w:val="24"/>
          <w:szCs w:val="24"/>
        </w:rPr>
        <w:t>Pilotni projekt spada v podukrep 16.2 podpora za pilotne projekte ter za razvoj novih proizvodov, praks, procesov in tehnologij.</w:t>
      </w:r>
    </w:p>
    <w:p w:rsidR="00812CCD" w:rsidRPr="007116A5" w:rsidRDefault="00812CCD" w:rsidP="00812CCD">
      <w:pPr>
        <w:spacing w:line="240" w:lineRule="auto"/>
        <w:jc w:val="both"/>
        <w:rPr>
          <w:rFonts w:cstheme="minorHAnsi"/>
          <w:b/>
          <w:bCs/>
          <w:sz w:val="24"/>
          <w:szCs w:val="24"/>
        </w:rPr>
      </w:pPr>
      <w:r w:rsidRPr="007116A5">
        <w:rPr>
          <w:rFonts w:cstheme="minorHAnsi"/>
          <w:b/>
          <w:bCs/>
          <w:sz w:val="24"/>
          <w:szCs w:val="24"/>
        </w:rPr>
        <w:t>Namen in cilji:</w:t>
      </w:r>
    </w:p>
    <w:p w:rsidR="00812CCD" w:rsidRPr="007116A5" w:rsidRDefault="00812CCD" w:rsidP="00812CCD">
      <w:pPr>
        <w:spacing w:line="240" w:lineRule="auto"/>
        <w:jc w:val="both"/>
        <w:rPr>
          <w:rFonts w:cstheme="minorHAnsi"/>
          <w:sz w:val="24"/>
          <w:szCs w:val="24"/>
        </w:rPr>
      </w:pPr>
      <w:r w:rsidRPr="007116A5">
        <w:rPr>
          <w:rFonts w:cstheme="minorHAnsi"/>
          <w:sz w:val="24"/>
          <w:szCs w:val="24"/>
        </w:rPr>
        <w:t>Ekstremne vremenske razmere v obliki suhih obdobij in močnih padavin so skoraj postale navada. Eden od načinov za prilagajanje tem dogodkom, povezanim s podnebnimi spremembami, je prilagoditev metode setve. Projekt je osredotočen na uvedbo in oceno uporabe tehnologije setve z droni v kmetijskem sektorju, kjer je poudarek na izboljšanju trajnosti, produktivnosti in prilagodljivosti kmetijske pridelave na podnebne spremembe. Glavni cilj projekta je uvesti in preizkusiti uporabo dronov za setev naknadnih posevkov in podsevkov. Pričakujemo, da bo pilotni projekt prinesel konkretna priporočila za uvajanje tehnologije setve z droni v širši kmetijski sektor, ob hkratnem zagotavljanju</w:t>
      </w:r>
      <w:r w:rsidR="00202FC5">
        <w:rPr>
          <w:rFonts w:cstheme="minorHAnsi"/>
          <w:sz w:val="24"/>
          <w:szCs w:val="24"/>
        </w:rPr>
        <w:t xml:space="preserve"> trajnostnih praks in izboljšanju</w:t>
      </w:r>
      <w:r w:rsidRPr="007116A5">
        <w:rPr>
          <w:rFonts w:cstheme="minorHAnsi"/>
          <w:sz w:val="24"/>
          <w:szCs w:val="24"/>
        </w:rPr>
        <w:t xml:space="preserve"> produktivnosti. </w:t>
      </w:r>
    </w:p>
    <w:p w:rsidR="00812CCD" w:rsidRPr="007116A5" w:rsidRDefault="00812CCD" w:rsidP="00812CCD">
      <w:pPr>
        <w:spacing w:line="240" w:lineRule="auto"/>
        <w:jc w:val="both"/>
        <w:rPr>
          <w:rFonts w:cstheme="minorHAnsi"/>
          <w:b/>
          <w:bCs/>
          <w:sz w:val="24"/>
          <w:szCs w:val="24"/>
        </w:rPr>
      </w:pPr>
      <w:r w:rsidRPr="007116A5">
        <w:rPr>
          <w:rFonts w:cstheme="minorHAnsi"/>
          <w:b/>
          <w:bCs/>
          <w:sz w:val="24"/>
          <w:szCs w:val="24"/>
        </w:rPr>
        <w:t>Projektne aktivnosti:</w:t>
      </w:r>
    </w:p>
    <w:p w:rsidR="00812CCD" w:rsidRPr="007116A5" w:rsidRDefault="00812CCD" w:rsidP="00812CCD">
      <w:pPr>
        <w:spacing w:line="240" w:lineRule="auto"/>
        <w:jc w:val="both"/>
        <w:rPr>
          <w:rFonts w:cstheme="minorHAnsi"/>
          <w:sz w:val="24"/>
          <w:szCs w:val="24"/>
        </w:rPr>
      </w:pPr>
      <w:r w:rsidRPr="007116A5">
        <w:rPr>
          <w:rFonts w:cstheme="minorHAnsi"/>
          <w:sz w:val="24"/>
          <w:szCs w:val="24"/>
        </w:rPr>
        <w:t>Na štirih kmetijskih gospodarstvih, ki so vključeni v projekt, bomo v okviru praktičnega preizkušanja na kmetijskih površinah uvedli tehnologijo setve z droni. V okviru projekta bomo izvajali setve različnih kultur z uporabo dronov, bodisi kot podsevek ali naknadni posevek. S tem načinom bomo spremljali uspešnost setve, ki omogoča izjemno hitro prilagajanje klimatskim razmeram. S to tehniko je setev izved</w:t>
      </w:r>
      <w:r w:rsidR="00202FC5">
        <w:rPr>
          <w:rFonts w:cstheme="minorHAnsi"/>
          <w:sz w:val="24"/>
          <w:szCs w:val="24"/>
        </w:rPr>
        <w:t>ljiva tudi v primeru mokrih tal</w:t>
      </w:r>
      <w:r w:rsidR="00521945">
        <w:rPr>
          <w:rFonts w:cstheme="minorHAnsi"/>
          <w:sz w:val="24"/>
          <w:szCs w:val="24"/>
        </w:rPr>
        <w:t>,</w:t>
      </w:r>
      <w:r w:rsidRPr="007116A5">
        <w:rPr>
          <w:rFonts w:cstheme="minorHAnsi"/>
          <w:sz w:val="24"/>
          <w:szCs w:val="24"/>
        </w:rPr>
        <w:t xml:space="preserve"> ali ko je prejšnja kultura še prisotna na površini</w:t>
      </w:r>
      <w:r w:rsidR="002917E2">
        <w:rPr>
          <w:rFonts w:cstheme="minorHAnsi"/>
          <w:sz w:val="24"/>
          <w:szCs w:val="24"/>
        </w:rPr>
        <w:t xml:space="preserve">. </w:t>
      </w:r>
      <w:r w:rsidRPr="007116A5">
        <w:rPr>
          <w:rFonts w:cstheme="minorHAnsi"/>
          <w:sz w:val="24"/>
          <w:szCs w:val="24"/>
        </w:rPr>
        <w:t xml:space="preserve">Z aktivnostmi, ki bodo vključevale prenos znanja in razširjenje rezultatov pilotnega projekta, bomo intenzivno vplivali na boljšo ozaveščenost kmetov in strokovnjakov v kmetijskem sektorju glede učinkovitosti novejšega postopka setve. </w:t>
      </w:r>
    </w:p>
    <w:p w:rsidR="00812CCD" w:rsidRPr="007116A5" w:rsidRDefault="00812CCD" w:rsidP="00812CCD">
      <w:pPr>
        <w:spacing w:line="240" w:lineRule="auto"/>
        <w:jc w:val="both"/>
        <w:rPr>
          <w:rFonts w:cstheme="minorHAnsi"/>
          <w:b/>
          <w:bCs/>
          <w:iCs/>
          <w:sz w:val="24"/>
          <w:szCs w:val="24"/>
        </w:rPr>
      </w:pPr>
      <w:r w:rsidRPr="007116A5">
        <w:rPr>
          <w:rFonts w:cstheme="minorHAnsi"/>
          <w:b/>
          <w:bCs/>
          <w:iCs/>
          <w:sz w:val="24"/>
          <w:szCs w:val="24"/>
        </w:rPr>
        <w:t>Pričakovani rezultati:</w:t>
      </w:r>
    </w:p>
    <w:p w:rsidR="00812CCD" w:rsidRPr="007116A5" w:rsidRDefault="00812CCD" w:rsidP="00812CCD">
      <w:pPr>
        <w:pStyle w:val="Odstavekseznama"/>
        <w:autoSpaceDE w:val="0"/>
        <w:autoSpaceDN w:val="0"/>
        <w:adjustRightInd w:val="0"/>
        <w:spacing w:line="240" w:lineRule="auto"/>
        <w:ind w:left="0"/>
        <w:jc w:val="both"/>
        <w:rPr>
          <w:rFonts w:cstheme="minorHAnsi"/>
          <w:sz w:val="24"/>
          <w:szCs w:val="24"/>
        </w:rPr>
      </w:pPr>
      <w:r w:rsidRPr="007116A5">
        <w:rPr>
          <w:rFonts w:cstheme="minorHAnsi"/>
          <w:sz w:val="24"/>
          <w:szCs w:val="24"/>
        </w:rPr>
        <w:t xml:space="preserve">Setev s pomočjo dronov je relativno nova tehnologija v kmetijskem sektorju in je v razvoju. Rezultati se razlikujejo glede na uporabljeno tehnologijo, okoljske </w:t>
      </w:r>
      <w:r w:rsidR="00202FC5">
        <w:rPr>
          <w:rFonts w:cstheme="minorHAnsi"/>
          <w:sz w:val="24"/>
          <w:szCs w:val="24"/>
        </w:rPr>
        <w:t xml:space="preserve">pogoje in vrsto posevka. Zato </w:t>
      </w:r>
      <w:r w:rsidRPr="007116A5">
        <w:rPr>
          <w:rFonts w:cstheme="minorHAnsi"/>
          <w:sz w:val="24"/>
          <w:szCs w:val="24"/>
        </w:rPr>
        <w:t>lahko pričakujemo nekatere potencialne prednosti in izzive v primerjavi s tradicionalno setv</w:t>
      </w:r>
      <w:r w:rsidR="00202FC5">
        <w:rPr>
          <w:rFonts w:cstheme="minorHAnsi"/>
          <w:sz w:val="24"/>
          <w:szCs w:val="24"/>
        </w:rPr>
        <w:t>ijo s sejalnico in traktorjem.</w:t>
      </w:r>
    </w:p>
    <w:p w:rsidR="00812CCD" w:rsidRPr="007116A5" w:rsidRDefault="00812CCD" w:rsidP="00812CCD">
      <w:pPr>
        <w:autoSpaceDE w:val="0"/>
        <w:autoSpaceDN w:val="0"/>
        <w:adjustRightInd w:val="0"/>
        <w:spacing w:line="240" w:lineRule="auto"/>
        <w:jc w:val="both"/>
        <w:rPr>
          <w:rFonts w:cstheme="minorHAnsi"/>
          <w:sz w:val="24"/>
          <w:szCs w:val="24"/>
        </w:rPr>
      </w:pPr>
      <w:r w:rsidRPr="007116A5">
        <w:rPr>
          <w:rFonts w:cstheme="minorHAnsi"/>
          <w:sz w:val="24"/>
          <w:szCs w:val="24"/>
        </w:rPr>
        <w:t xml:space="preserve">V sklopu praktičnega preizkušanja setve z dronom lahko pričakujemo: </w:t>
      </w:r>
    </w:p>
    <w:p w:rsidR="00812CCD" w:rsidRPr="005A62A4" w:rsidRDefault="00202FC5" w:rsidP="00812CCD">
      <w:pPr>
        <w:pStyle w:val="Odstavekseznama"/>
        <w:numPr>
          <w:ilvl w:val="0"/>
          <w:numId w:val="1"/>
        </w:numPr>
        <w:spacing w:line="240" w:lineRule="auto"/>
        <w:jc w:val="both"/>
        <w:rPr>
          <w:rFonts w:cstheme="minorHAnsi"/>
          <w:iCs/>
          <w:sz w:val="24"/>
          <w:szCs w:val="24"/>
        </w:rPr>
      </w:pPr>
      <w:r w:rsidRPr="005A62A4">
        <w:rPr>
          <w:rFonts w:cstheme="minorHAnsi"/>
          <w:iCs/>
          <w:sz w:val="24"/>
          <w:szCs w:val="24"/>
        </w:rPr>
        <w:t>oceno</w:t>
      </w:r>
      <w:r w:rsidR="00812CCD" w:rsidRPr="005A62A4">
        <w:rPr>
          <w:rFonts w:cstheme="minorHAnsi"/>
          <w:iCs/>
          <w:sz w:val="24"/>
          <w:szCs w:val="24"/>
        </w:rPr>
        <w:t xml:space="preserve"> natančnosti setve, uporaba dronov s pomočjo GPS tehnologije in senzorjev omogoča natančnejšo določanje lokacije setve, kar lahko pripomore k bolj natančni porazdelitvi semen;</w:t>
      </w:r>
    </w:p>
    <w:p w:rsidR="00812CCD" w:rsidRPr="005A62A4" w:rsidRDefault="00812CCD" w:rsidP="00812CCD">
      <w:pPr>
        <w:pStyle w:val="Odstavekseznama"/>
        <w:numPr>
          <w:ilvl w:val="0"/>
          <w:numId w:val="1"/>
        </w:numPr>
        <w:spacing w:line="240" w:lineRule="auto"/>
        <w:jc w:val="both"/>
        <w:rPr>
          <w:rFonts w:cstheme="minorHAnsi"/>
          <w:iCs/>
          <w:sz w:val="24"/>
          <w:szCs w:val="24"/>
        </w:rPr>
      </w:pPr>
      <w:r w:rsidRPr="005A62A4">
        <w:rPr>
          <w:rFonts w:cstheme="minorHAnsi"/>
          <w:iCs/>
          <w:sz w:val="24"/>
          <w:szCs w:val="24"/>
        </w:rPr>
        <w:t xml:space="preserve">zmanjšanje porabe časa, z uporabo nove tehnologije lahko zmanjšamo čas, potreben za izvedbo setve. Z dronom lahko hitreje in učinkovitejše izvedemo setev </w:t>
      </w:r>
      <w:r w:rsidR="00215A4D">
        <w:rPr>
          <w:rFonts w:cstheme="minorHAnsi"/>
          <w:iCs/>
          <w:sz w:val="24"/>
          <w:szCs w:val="24"/>
        </w:rPr>
        <w:t xml:space="preserve">v primerjavi z </w:t>
      </w:r>
      <w:r w:rsidRPr="005A62A4">
        <w:rPr>
          <w:rFonts w:cstheme="minorHAnsi"/>
          <w:iCs/>
          <w:sz w:val="24"/>
          <w:szCs w:val="24"/>
        </w:rPr>
        <w:t>uporab</w:t>
      </w:r>
      <w:r w:rsidR="00215A4D">
        <w:rPr>
          <w:rFonts w:cstheme="minorHAnsi"/>
          <w:iCs/>
          <w:sz w:val="24"/>
          <w:szCs w:val="24"/>
        </w:rPr>
        <w:t>o</w:t>
      </w:r>
      <w:r w:rsidRPr="005A62A4">
        <w:rPr>
          <w:rFonts w:cstheme="minorHAnsi"/>
          <w:iCs/>
          <w:sz w:val="24"/>
          <w:szCs w:val="24"/>
        </w:rPr>
        <w:t xml:space="preserve"> klasične mehanizacije;</w:t>
      </w:r>
    </w:p>
    <w:p w:rsidR="00812CCD" w:rsidRPr="007116A5" w:rsidRDefault="005A62A4" w:rsidP="00812CCD">
      <w:pPr>
        <w:pStyle w:val="Odstavekseznama"/>
        <w:numPr>
          <w:ilvl w:val="0"/>
          <w:numId w:val="1"/>
        </w:numPr>
        <w:spacing w:line="240" w:lineRule="auto"/>
        <w:jc w:val="both"/>
        <w:rPr>
          <w:rFonts w:cstheme="minorHAnsi"/>
          <w:iCs/>
          <w:sz w:val="24"/>
          <w:szCs w:val="24"/>
        </w:rPr>
      </w:pPr>
      <w:r w:rsidRPr="005A62A4">
        <w:rPr>
          <w:rFonts w:cstheme="minorHAnsi"/>
          <w:iCs/>
          <w:sz w:val="24"/>
          <w:szCs w:val="24"/>
        </w:rPr>
        <w:t>izvedbo</w:t>
      </w:r>
      <w:r w:rsidR="00812CCD" w:rsidRPr="005A62A4">
        <w:rPr>
          <w:rFonts w:cstheme="minorHAnsi"/>
          <w:iCs/>
          <w:sz w:val="24"/>
          <w:szCs w:val="24"/>
        </w:rPr>
        <w:t xml:space="preserve"> setve v razvojni fazi glavnega posevka</w:t>
      </w:r>
      <w:r>
        <w:rPr>
          <w:rFonts w:cstheme="minorHAnsi"/>
          <w:iCs/>
          <w:sz w:val="24"/>
          <w:szCs w:val="24"/>
        </w:rPr>
        <w:t>, večjo</w:t>
      </w:r>
      <w:r w:rsidR="00812CCD" w:rsidRPr="007116A5">
        <w:rPr>
          <w:rFonts w:cstheme="minorHAnsi"/>
          <w:iCs/>
          <w:sz w:val="24"/>
          <w:szCs w:val="24"/>
        </w:rPr>
        <w:t xml:space="preserve"> prilagodljivost na podnebne spremem</w:t>
      </w:r>
      <w:r>
        <w:rPr>
          <w:rFonts w:cstheme="minorHAnsi"/>
          <w:iCs/>
          <w:sz w:val="24"/>
          <w:szCs w:val="24"/>
        </w:rPr>
        <w:t xml:space="preserve">be oz. klimatske pogoje in </w:t>
      </w:r>
      <w:r w:rsidR="00215A4D">
        <w:rPr>
          <w:rFonts w:cstheme="minorHAnsi"/>
          <w:iCs/>
          <w:sz w:val="24"/>
          <w:szCs w:val="24"/>
        </w:rPr>
        <w:t>boljšo</w:t>
      </w:r>
      <w:r w:rsidR="002917E2">
        <w:rPr>
          <w:rFonts w:cstheme="minorHAnsi"/>
          <w:iCs/>
          <w:sz w:val="24"/>
          <w:szCs w:val="24"/>
        </w:rPr>
        <w:t xml:space="preserve"> </w:t>
      </w:r>
      <w:r w:rsidR="00812CCD" w:rsidRPr="007116A5">
        <w:rPr>
          <w:rFonts w:cstheme="minorHAnsi"/>
          <w:iCs/>
          <w:sz w:val="24"/>
          <w:szCs w:val="24"/>
        </w:rPr>
        <w:t>dostopnost (teren, oddaljenost površin, …);</w:t>
      </w:r>
    </w:p>
    <w:p w:rsidR="00812CCD" w:rsidRPr="007116A5" w:rsidRDefault="005A62A4" w:rsidP="00812CCD">
      <w:pPr>
        <w:pStyle w:val="Odstavekseznama"/>
        <w:numPr>
          <w:ilvl w:val="0"/>
          <w:numId w:val="1"/>
        </w:numPr>
        <w:spacing w:line="240" w:lineRule="auto"/>
        <w:jc w:val="both"/>
        <w:rPr>
          <w:rFonts w:cstheme="minorHAnsi"/>
          <w:iCs/>
          <w:sz w:val="24"/>
          <w:szCs w:val="24"/>
        </w:rPr>
      </w:pPr>
      <w:r>
        <w:rPr>
          <w:rFonts w:cstheme="minorHAnsi"/>
          <w:iCs/>
          <w:sz w:val="24"/>
          <w:szCs w:val="24"/>
        </w:rPr>
        <w:t>večjo</w:t>
      </w:r>
      <w:r w:rsidR="00812CCD" w:rsidRPr="007116A5">
        <w:rPr>
          <w:rFonts w:cstheme="minorHAnsi"/>
          <w:iCs/>
          <w:sz w:val="24"/>
          <w:szCs w:val="24"/>
        </w:rPr>
        <w:t xml:space="preserve"> ohranjenost zdravja tal, setev z dronom nima neposrednega stika s tlemi, zato se zmanjša </w:t>
      </w:r>
      <w:r w:rsidR="00215A4D">
        <w:rPr>
          <w:rFonts w:cstheme="minorHAnsi"/>
          <w:iCs/>
          <w:sz w:val="24"/>
          <w:szCs w:val="24"/>
        </w:rPr>
        <w:t>zbitost</w:t>
      </w:r>
      <w:r w:rsidR="002917E2">
        <w:rPr>
          <w:rFonts w:cstheme="minorHAnsi"/>
          <w:iCs/>
          <w:sz w:val="24"/>
          <w:szCs w:val="24"/>
        </w:rPr>
        <w:t xml:space="preserve"> </w:t>
      </w:r>
      <w:r w:rsidR="00812CCD" w:rsidRPr="007116A5">
        <w:rPr>
          <w:rFonts w:cstheme="minorHAnsi"/>
          <w:iCs/>
          <w:sz w:val="24"/>
          <w:szCs w:val="24"/>
        </w:rPr>
        <w:t>tal, ohranjajo se biološki procesi, rast ter zdravje mikroorganizmov v tleh;</w:t>
      </w:r>
    </w:p>
    <w:p w:rsidR="00812CCD" w:rsidRPr="007116A5" w:rsidRDefault="00812CCD" w:rsidP="00812CCD">
      <w:pPr>
        <w:pStyle w:val="Odstavekseznama"/>
        <w:numPr>
          <w:ilvl w:val="0"/>
          <w:numId w:val="1"/>
        </w:numPr>
        <w:spacing w:line="240" w:lineRule="auto"/>
        <w:jc w:val="both"/>
        <w:rPr>
          <w:rFonts w:cstheme="minorHAnsi"/>
          <w:iCs/>
          <w:sz w:val="24"/>
          <w:szCs w:val="24"/>
        </w:rPr>
      </w:pPr>
      <w:r w:rsidRPr="007116A5">
        <w:rPr>
          <w:rFonts w:cstheme="minorHAnsi"/>
          <w:iCs/>
          <w:sz w:val="24"/>
          <w:szCs w:val="24"/>
        </w:rPr>
        <w:t>zmanjšanje porabe fosilnih goriv, zaradi zmanjšanega števila obdelav</w:t>
      </w:r>
      <w:r w:rsidR="005A62A4">
        <w:rPr>
          <w:rFonts w:cstheme="minorHAnsi"/>
          <w:iCs/>
          <w:sz w:val="24"/>
          <w:szCs w:val="24"/>
        </w:rPr>
        <w:t>e</w:t>
      </w:r>
      <w:r w:rsidRPr="007116A5">
        <w:rPr>
          <w:rFonts w:cstheme="minorHAnsi"/>
          <w:iCs/>
          <w:sz w:val="24"/>
          <w:szCs w:val="24"/>
        </w:rPr>
        <w:t xml:space="preserve"> pri setvi se zmanjša tudi poraba goriva v primerjavi s klasično obdelavo;</w:t>
      </w:r>
    </w:p>
    <w:p w:rsidR="00812CCD" w:rsidRPr="007116A5" w:rsidRDefault="005A62A4" w:rsidP="00812CCD">
      <w:pPr>
        <w:pStyle w:val="Odstavekseznama"/>
        <w:numPr>
          <w:ilvl w:val="0"/>
          <w:numId w:val="1"/>
        </w:numPr>
        <w:spacing w:line="240" w:lineRule="auto"/>
        <w:jc w:val="both"/>
        <w:rPr>
          <w:rFonts w:cstheme="minorHAnsi"/>
          <w:iCs/>
          <w:sz w:val="24"/>
          <w:szCs w:val="24"/>
        </w:rPr>
      </w:pPr>
      <w:r>
        <w:rPr>
          <w:rFonts w:cstheme="minorHAnsi"/>
          <w:iCs/>
          <w:sz w:val="24"/>
          <w:szCs w:val="24"/>
        </w:rPr>
        <w:lastRenderedPageBreak/>
        <w:t>zmanjšano porabo</w:t>
      </w:r>
      <w:r w:rsidR="00812CCD" w:rsidRPr="007116A5">
        <w:rPr>
          <w:rFonts w:cstheme="minorHAnsi"/>
          <w:iCs/>
          <w:sz w:val="24"/>
          <w:szCs w:val="24"/>
        </w:rPr>
        <w:t xml:space="preserve"> kemičnih sredstev: natančna in uspešna setev naknadnih posevkov in podsevkov lahko prispeva k zatiranju plevela v glavnem posevku, kar lahko pomaga pri zmanjšanju potrebe po kemičnih gnojilih in herbicidih;</w:t>
      </w:r>
    </w:p>
    <w:p w:rsidR="00812CCD" w:rsidRPr="007116A5" w:rsidRDefault="005A62A4" w:rsidP="00812CCD">
      <w:pPr>
        <w:pStyle w:val="Odstavekseznama"/>
        <w:numPr>
          <w:ilvl w:val="0"/>
          <w:numId w:val="1"/>
        </w:numPr>
        <w:spacing w:line="240" w:lineRule="auto"/>
        <w:jc w:val="both"/>
        <w:rPr>
          <w:rFonts w:cstheme="minorHAnsi"/>
          <w:iCs/>
          <w:sz w:val="24"/>
          <w:szCs w:val="24"/>
        </w:rPr>
      </w:pPr>
      <w:r>
        <w:rPr>
          <w:rFonts w:cstheme="minorHAnsi"/>
          <w:iCs/>
          <w:sz w:val="24"/>
          <w:szCs w:val="24"/>
        </w:rPr>
        <w:t>uspešno setev podsevka in naknadnega posev</w:t>
      </w:r>
      <w:r w:rsidR="00812CCD" w:rsidRPr="007116A5">
        <w:rPr>
          <w:rFonts w:cstheme="minorHAnsi"/>
          <w:iCs/>
          <w:sz w:val="24"/>
          <w:szCs w:val="24"/>
        </w:rPr>
        <w:t>k</w:t>
      </w:r>
      <w:r>
        <w:rPr>
          <w:rFonts w:cstheme="minorHAnsi"/>
          <w:iCs/>
          <w:sz w:val="24"/>
          <w:szCs w:val="24"/>
        </w:rPr>
        <w:t>a</w:t>
      </w:r>
      <w:r w:rsidR="00812CCD" w:rsidRPr="007116A5">
        <w:rPr>
          <w:rFonts w:cstheme="minorHAnsi"/>
          <w:iCs/>
          <w:sz w:val="24"/>
          <w:szCs w:val="24"/>
        </w:rPr>
        <w:t>, kar bo omogočilo stalni zeleni pokrov, ki bo posledično vplival na zmanjšanje zapleveljenosti</w:t>
      </w:r>
      <w:r w:rsidR="00215A4D">
        <w:rPr>
          <w:rFonts w:cstheme="minorHAnsi"/>
          <w:iCs/>
          <w:sz w:val="24"/>
          <w:szCs w:val="24"/>
        </w:rPr>
        <w:t>, boljšo strukturo in teksturo tal</w:t>
      </w:r>
      <w:r w:rsidR="00812CCD" w:rsidRPr="007116A5">
        <w:rPr>
          <w:rFonts w:cstheme="minorHAnsi"/>
          <w:iCs/>
          <w:sz w:val="24"/>
          <w:szCs w:val="24"/>
        </w:rPr>
        <w:t>.</w:t>
      </w:r>
    </w:p>
    <w:p w:rsidR="00812CCD" w:rsidRPr="007116A5" w:rsidRDefault="00812CCD" w:rsidP="00812CCD">
      <w:pPr>
        <w:spacing w:line="240" w:lineRule="auto"/>
        <w:rPr>
          <w:rFonts w:cstheme="minorHAnsi"/>
          <w:b/>
          <w:bCs/>
          <w:sz w:val="24"/>
          <w:szCs w:val="24"/>
        </w:rPr>
      </w:pPr>
      <w:r w:rsidRPr="007116A5">
        <w:rPr>
          <w:rFonts w:cstheme="minorHAnsi"/>
          <w:b/>
          <w:bCs/>
          <w:sz w:val="24"/>
          <w:szCs w:val="24"/>
        </w:rPr>
        <w:t>Trajanje projekta:</w:t>
      </w:r>
    </w:p>
    <w:p w:rsidR="00812CCD" w:rsidRPr="007116A5" w:rsidRDefault="00812CCD" w:rsidP="00812CCD">
      <w:pPr>
        <w:spacing w:line="240" w:lineRule="auto"/>
        <w:rPr>
          <w:rFonts w:cstheme="minorHAnsi"/>
          <w:bCs/>
          <w:sz w:val="24"/>
          <w:szCs w:val="24"/>
        </w:rPr>
      </w:pPr>
      <w:r w:rsidRPr="007116A5">
        <w:rPr>
          <w:rFonts w:cstheme="minorHAnsi"/>
          <w:bCs/>
          <w:sz w:val="24"/>
          <w:szCs w:val="24"/>
        </w:rPr>
        <w:t>December 2023 – december 2024 (1 leto)</w:t>
      </w:r>
    </w:p>
    <w:p w:rsidR="00812CCD" w:rsidRPr="007116A5" w:rsidRDefault="00812CCD" w:rsidP="00812CCD">
      <w:pPr>
        <w:spacing w:line="240" w:lineRule="auto"/>
        <w:jc w:val="both"/>
        <w:rPr>
          <w:rFonts w:cstheme="minorHAnsi"/>
          <w:b/>
          <w:sz w:val="24"/>
          <w:szCs w:val="24"/>
        </w:rPr>
      </w:pPr>
      <w:r w:rsidRPr="007116A5">
        <w:rPr>
          <w:rFonts w:cstheme="minorHAnsi"/>
          <w:sz w:val="24"/>
          <w:szCs w:val="24"/>
          <w:shd w:val="clear" w:color="auto" w:fill="FFFFFF"/>
        </w:rPr>
        <w:t>Projekt je sofinanciran s strani Republike Slovenije in Evropske unije iz kmetijskega sklada za razvoj podeželja (6. JR za podukrep 16.2).</w:t>
      </w:r>
      <w:r w:rsidRPr="007116A5">
        <w:rPr>
          <w:rFonts w:cstheme="minorHAnsi"/>
          <w:color w:val="000033"/>
          <w:sz w:val="24"/>
          <w:szCs w:val="24"/>
          <w:shd w:val="clear" w:color="auto" w:fill="FFFFFF"/>
        </w:rPr>
        <w:t xml:space="preserve"> </w:t>
      </w:r>
      <w:r w:rsidRPr="007116A5">
        <w:rPr>
          <w:rFonts w:cstheme="minorHAnsi"/>
          <w:sz w:val="24"/>
          <w:szCs w:val="24"/>
          <w:shd w:val="clear" w:color="auto" w:fill="FFFFFF"/>
        </w:rPr>
        <w:t>Vrednost sofinanciranja znaša 74.958,22 EUR.</w:t>
      </w:r>
    </w:p>
    <w:p w:rsidR="005A62A4" w:rsidRDefault="005A62A4" w:rsidP="00812CCD">
      <w:pPr>
        <w:rPr>
          <w:rFonts w:cstheme="minorHAnsi"/>
          <w:b/>
          <w:sz w:val="24"/>
          <w:szCs w:val="24"/>
        </w:rPr>
      </w:pPr>
    </w:p>
    <w:p w:rsidR="00812CCD" w:rsidRPr="007116A5" w:rsidRDefault="00812CCD" w:rsidP="00812CCD">
      <w:pPr>
        <w:rPr>
          <w:rFonts w:cstheme="minorHAnsi"/>
          <w:b/>
          <w:sz w:val="24"/>
          <w:szCs w:val="24"/>
        </w:rPr>
      </w:pPr>
      <w:r w:rsidRPr="007116A5">
        <w:rPr>
          <w:rFonts w:cstheme="minorHAnsi"/>
          <w:b/>
          <w:sz w:val="24"/>
          <w:szCs w:val="24"/>
        </w:rPr>
        <w:t>Povezave:</w:t>
      </w:r>
    </w:p>
    <w:p w:rsidR="00812CCD" w:rsidRDefault="00812CCD" w:rsidP="00812CCD">
      <w:r w:rsidRPr="007116A5">
        <w:rPr>
          <w:rFonts w:cstheme="minorHAnsi"/>
          <w:color w:val="000033"/>
          <w:sz w:val="24"/>
          <w:szCs w:val="24"/>
          <w:shd w:val="clear" w:color="auto" w:fill="FFFFFF"/>
        </w:rPr>
        <w:t>• </w:t>
      </w:r>
      <w:hyperlink r:id="rId6" w:history="1">
        <w:r w:rsidRPr="007116A5">
          <w:rPr>
            <w:rStyle w:val="Hiperpovezava"/>
            <w:rFonts w:cstheme="minorHAnsi"/>
            <w:color w:val="0C376B"/>
            <w:sz w:val="24"/>
            <w:szCs w:val="24"/>
            <w:shd w:val="clear" w:color="auto" w:fill="FFFFFF"/>
          </w:rPr>
          <w:t>Evropska komisija (Evropski kmetijski sklad za razvoj podeželja)</w:t>
        </w:r>
      </w:hyperlink>
      <w:r w:rsidRPr="007116A5">
        <w:rPr>
          <w:rFonts w:cstheme="minorHAnsi"/>
          <w:color w:val="000033"/>
          <w:sz w:val="24"/>
          <w:szCs w:val="24"/>
        </w:rPr>
        <w:br/>
      </w:r>
      <w:r w:rsidRPr="007116A5">
        <w:rPr>
          <w:rFonts w:cstheme="minorHAnsi"/>
          <w:color w:val="000033"/>
          <w:sz w:val="24"/>
          <w:szCs w:val="24"/>
          <w:shd w:val="clear" w:color="auto" w:fill="FFFFFF"/>
        </w:rPr>
        <w:t>• </w:t>
      </w:r>
      <w:hyperlink r:id="rId7" w:history="1">
        <w:r w:rsidRPr="007116A5">
          <w:rPr>
            <w:rStyle w:val="Hiperpovezava"/>
            <w:rFonts w:cstheme="minorHAnsi"/>
            <w:color w:val="0C376B"/>
            <w:sz w:val="24"/>
            <w:szCs w:val="24"/>
            <w:shd w:val="clear" w:color="auto" w:fill="FFFFFF"/>
          </w:rPr>
          <w:t>Program razvoja podeželja (PRP) 2014–2020</w:t>
        </w:r>
      </w:hyperlink>
      <w:r w:rsidRPr="007116A5">
        <w:rPr>
          <w:rFonts w:cstheme="minorHAnsi"/>
          <w:color w:val="000033"/>
          <w:sz w:val="24"/>
          <w:szCs w:val="24"/>
        </w:rPr>
        <w:br/>
      </w:r>
      <w:r w:rsidRPr="007116A5">
        <w:rPr>
          <w:rFonts w:cstheme="minorHAnsi"/>
          <w:color w:val="000033"/>
          <w:sz w:val="24"/>
          <w:szCs w:val="24"/>
          <w:shd w:val="clear" w:color="auto" w:fill="FFFFFF"/>
        </w:rPr>
        <w:t>• </w:t>
      </w:r>
      <w:hyperlink r:id="rId8" w:history="1">
        <w:r w:rsidRPr="007116A5">
          <w:rPr>
            <w:rStyle w:val="Hiperpovezava"/>
            <w:rFonts w:cstheme="minorHAnsi"/>
            <w:color w:val="0C376B"/>
            <w:sz w:val="24"/>
            <w:szCs w:val="24"/>
            <w:shd w:val="clear" w:color="auto" w:fill="FFFFFF"/>
          </w:rPr>
          <w:t>Ministrstvo za kmetijstvo, gozdarstvo in prehrano (MKGP)</w:t>
        </w:r>
      </w:hyperlink>
    </w:p>
    <w:p w:rsidR="00EA3CB9" w:rsidRDefault="00EA3CB9" w:rsidP="00EA3CB9"/>
    <w:p w:rsidR="0056474A" w:rsidRDefault="0056474A" w:rsidP="0056474A">
      <w:pPr>
        <w:pStyle w:val="Navadensplet"/>
        <w:jc w:val="center"/>
      </w:pPr>
      <w:bookmarkStart w:id="0" w:name="_GoBack"/>
      <w:bookmarkEnd w:id="0"/>
      <w:r>
        <w:rPr>
          <w:noProof/>
        </w:rPr>
        <w:drawing>
          <wp:inline distT="0" distB="0" distL="0" distR="0">
            <wp:extent cx="2856906" cy="3844167"/>
            <wp:effectExtent l="0" t="0" r="0" b="0"/>
            <wp:docPr id="2" name="Slika 2" descr="C:\Users\ANDREJAMK\AppData\Local\Packages\Microsoft.Windows.Photos_8wekyb3d8bbwe\TempState\ShareServiceTempFolder\EIP_logo_RGB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JAMK\AppData\Local\Packages\Microsoft.Windows.Photos_8wekyb3d8bbwe\TempState\ShareServiceTempFolder\EIP_logo_RGB_26.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9748" cy="3861447"/>
                    </a:xfrm>
                    <a:prstGeom prst="rect">
                      <a:avLst/>
                    </a:prstGeom>
                    <a:noFill/>
                    <a:ln>
                      <a:noFill/>
                    </a:ln>
                  </pic:spPr>
                </pic:pic>
              </a:graphicData>
            </a:graphic>
          </wp:inline>
        </w:drawing>
      </w:r>
    </w:p>
    <w:p w:rsidR="0056474A" w:rsidRPr="00EA3CB9" w:rsidRDefault="0056474A" w:rsidP="00EA3CB9"/>
    <w:sectPr w:rsidR="0056474A" w:rsidRPr="00EA3CB9" w:rsidSect="00F51C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DB488C"/>
    <w:multiLevelType w:val="hybridMultilevel"/>
    <w:tmpl w:val="D6F27CF4"/>
    <w:lvl w:ilvl="0" w:tplc="4AF6522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03A5A99"/>
    <w:multiLevelType w:val="hybridMultilevel"/>
    <w:tmpl w:val="E3D4D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A3CB9"/>
    <w:rsid w:val="00202FC5"/>
    <w:rsid w:val="00215A4D"/>
    <w:rsid w:val="002917E2"/>
    <w:rsid w:val="002F7E3D"/>
    <w:rsid w:val="00521945"/>
    <w:rsid w:val="0056474A"/>
    <w:rsid w:val="005A62A4"/>
    <w:rsid w:val="00812CCD"/>
    <w:rsid w:val="00BA1F7D"/>
    <w:rsid w:val="00BA40A9"/>
    <w:rsid w:val="00C06786"/>
    <w:rsid w:val="00C84285"/>
    <w:rsid w:val="00EA3CB9"/>
    <w:rsid w:val="00F51CE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65F20-1B03-4C83-8465-4BD34823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51CE6"/>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12CCD"/>
    <w:rPr>
      <w:color w:val="0563C1" w:themeColor="hyperlink"/>
      <w:u w:val="single"/>
    </w:rPr>
  </w:style>
  <w:style w:type="paragraph" w:styleId="Odstavekseznama">
    <w:name w:val="List Paragraph"/>
    <w:basedOn w:val="Navaden"/>
    <w:link w:val="OdstavekseznamaZnak"/>
    <w:uiPriority w:val="34"/>
    <w:qFormat/>
    <w:rsid w:val="00812CCD"/>
    <w:pPr>
      <w:ind w:left="720"/>
      <w:contextualSpacing/>
    </w:pPr>
    <w:rPr>
      <w:kern w:val="2"/>
    </w:rPr>
  </w:style>
  <w:style w:type="character" w:customStyle="1" w:styleId="OdstavekseznamaZnak">
    <w:name w:val="Odstavek seznama Znak"/>
    <w:link w:val="Odstavekseznama"/>
    <w:uiPriority w:val="34"/>
    <w:locked/>
    <w:rsid w:val="00812CCD"/>
    <w:rPr>
      <w:kern w:val="2"/>
    </w:rPr>
  </w:style>
  <w:style w:type="character" w:styleId="Pripombasklic">
    <w:name w:val="annotation reference"/>
    <w:basedOn w:val="Privzetapisavaodstavka"/>
    <w:uiPriority w:val="99"/>
    <w:semiHidden/>
    <w:unhideWhenUsed/>
    <w:rsid w:val="00521945"/>
    <w:rPr>
      <w:sz w:val="16"/>
      <w:szCs w:val="16"/>
    </w:rPr>
  </w:style>
  <w:style w:type="paragraph" w:styleId="Pripombabesedilo">
    <w:name w:val="annotation text"/>
    <w:basedOn w:val="Navaden"/>
    <w:link w:val="PripombabesediloZnak"/>
    <w:uiPriority w:val="99"/>
    <w:semiHidden/>
    <w:unhideWhenUsed/>
    <w:rsid w:val="0052194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21945"/>
    <w:rPr>
      <w:sz w:val="20"/>
      <w:szCs w:val="20"/>
    </w:rPr>
  </w:style>
  <w:style w:type="paragraph" w:styleId="Zadevapripombe">
    <w:name w:val="annotation subject"/>
    <w:basedOn w:val="Pripombabesedilo"/>
    <w:next w:val="Pripombabesedilo"/>
    <w:link w:val="ZadevapripombeZnak"/>
    <w:uiPriority w:val="99"/>
    <w:semiHidden/>
    <w:unhideWhenUsed/>
    <w:rsid w:val="00521945"/>
    <w:rPr>
      <w:b/>
      <w:bCs/>
    </w:rPr>
  </w:style>
  <w:style w:type="character" w:customStyle="1" w:styleId="ZadevapripombeZnak">
    <w:name w:val="Zadeva pripombe Znak"/>
    <w:basedOn w:val="PripombabesediloZnak"/>
    <w:link w:val="Zadevapripombe"/>
    <w:uiPriority w:val="99"/>
    <w:semiHidden/>
    <w:rsid w:val="00521945"/>
    <w:rPr>
      <w:b/>
      <w:bCs/>
      <w:sz w:val="20"/>
      <w:szCs w:val="20"/>
    </w:rPr>
  </w:style>
  <w:style w:type="paragraph" w:styleId="Besedilooblaka">
    <w:name w:val="Balloon Text"/>
    <w:basedOn w:val="Navaden"/>
    <w:link w:val="BesedilooblakaZnak"/>
    <w:uiPriority w:val="99"/>
    <w:semiHidden/>
    <w:unhideWhenUsed/>
    <w:rsid w:val="0052194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1945"/>
    <w:rPr>
      <w:rFonts w:ascii="Tahoma" w:hAnsi="Tahoma" w:cs="Tahoma"/>
      <w:sz w:val="16"/>
      <w:szCs w:val="16"/>
    </w:rPr>
  </w:style>
  <w:style w:type="paragraph" w:styleId="Navadensplet">
    <w:name w:val="Normal (Web)"/>
    <w:basedOn w:val="Navaden"/>
    <w:uiPriority w:val="99"/>
    <w:semiHidden/>
    <w:unhideWhenUsed/>
    <w:rsid w:val="0056474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818810">
      <w:bodyDiv w:val="1"/>
      <w:marLeft w:val="0"/>
      <w:marRight w:val="0"/>
      <w:marTop w:val="0"/>
      <w:marBottom w:val="0"/>
      <w:divBdr>
        <w:top w:val="none" w:sz="0" w:space="0" w:color="auto"/>
        <w:left w:val="none" w:sz="0" w:space="0" w:color="auto"/>
        <w:bottom w:val="none" w:sz="0" w:space="0" w:color="auto"/>
        <w:right w:val="none" w:sz="0" w:space="0" w:color="auto"/>
      </w:divBdr>
    </w:div>
    <w:div w:id="1842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kmetijstvo-gozdarstvo-in-prehrano/o-ministrstvu/" TargetMode="External"/><Relationship Id="rId3" Type="http://schemas.openxmlformats.org/officeDocument/2006/relationships/settings" Target="settings.xml"/><Relationship Id="rId7" Type="http://schemas.openxmlformats.org/officeDocument/2006/relationships/hyperlink" Target="https://www.program-podezelja.si/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food-farming-fisheries/key-policies/common-agricultural-policy/rural-development"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735</Words>
  <Characters>4193</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dc:creator>
  <cp:lastModifiedBy>ANDREJAMK</cp:lastModifiedBy>
  <cp:revision>5</cp:revision>
  <dcterms:created xsi:type="dcterms:W3CDTF">2024-02-02T08:03:00Z</dcterms:created>
  <dcterms:modified xsi:type="dcterms:W3CDTF">2024-02-06T11:42:00Z</dcterms:modified>
</cp:coreProperties>
</file>