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V petek 1.3.2024 je bil objavljen javni razpis namenjen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 xml:space="preserve">naložbam v zmanjšanje emisij toplogrednih plinov iz kmetijstva. 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V sklopu razpisa so podprte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u w:val="single"/>
          <w:lang w:eastAsia="sl-SI"/>
        </w:rPr>
        <w:t>naložbe v izboljšanje učinkovitosti rabe živinskih gnojil ter zmanjšanje emisij toplogrednih plinov in amonijaka, in sicer: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– ureditev objektov in nakup pripadajoče opreme za skladiščenje živinskih gnojil,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– nakup in postavitev mobilnih objektov in nakup pripadajoče opreme za skladiščenje živinskih gnojil,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– zatesnitev odprtih lagun za skladiščenje živinskih gnojil,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>– nakup kmetijske mehanizacije, ki prispeva k zmanjšanju toplogrednih plinov (nova)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/>
          <w:bCs/>
          <w:sz w:val="24"/>
          <w:szCs w:val="20"/>
          <w:u w:val="single"/>
          <w:lang w:eastAsia="sl-SI"/>
        </w:rPr>
        <w:t>ter naložbe v ureditev hlevov oziroma nakup pripadajoče opreme</w:t>
      </w:r>
      <w:r w:rsidRPr="002A1DBA">
        <w:rPr>
          <w:rFonts w:ascii="Calibri" w:eastAsia="Times New Roman" w:hAnsi="Calibri" w:cs="Times New Roman"/>
          <w:sz w:val="24"/>
          <w:szCs w:val="20"/>
          <w:u w:val="single"/>
          <w:lang w:eastAsia="sl-SI"/>
        </w:rPr>
        <w:t>,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če z isto vlogo na javni razpis uveljavlja podporo za naložbo v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povečanje kapacitet za skladiščenje živinskih gnojil, ki presegajo minimalne zahteve iz predpisa, ki ureja varstvo voda pred onesnaževanjem iz kmetijskih virov za najmanj deset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odstotkov oziroma bo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rezultat naložbe v ureditev hleva oziroma nakup pripadajoče opreme povečanje obnovljivih virov energije oziroma učinkovite rabe energije za najmanj deset odstotkov glede na stanje pred naložbo.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Višina razpisanih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nepovratnih sredstev znaša 5.000.000 EUR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od tega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500.000 EUR za naložbe nosilcev majhnih kmetij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(sklop A),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3.000.000 EUR za naložbe fizičnih oseb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(sklop B) ter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1.500.000 EUR za naložbe samostojnih podjetnikov posameznikov in pravnih oseb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(sklop C).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u w:val="single"/>
          <w:lang w:eastAsia="sl-SI"/>
        </w:rPr>
      </w:pPr>
      <w:r w:rsidRPr="002A1DBA">
        <w:rPr>
          <w:rFonts w:ascii="Calibri" w:eastAsia="Times New Roman" w:hAnsi="Calibri" w:cs="Times New Roman"/>
          <w:b/>
          <w:sz w:val="24"/>
          <w:szCs w:val="20"/>
          <w:u w:val="single"/>
          <w:lang w:eastAsia="sl-SI"/>
        </w:rPr>
        <w:t>Glede na velikost naložbe ločimo: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-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enostavne naložbe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>, ki zajemajo naložbe do vključno 200.000 eurov skupne priznane vrednosti in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-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zahtevne naložbe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nad 200.000 eurov skupne priznane vrednosti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Za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določitev upravičenih stroškov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pri nakupu se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 xml:space="preserve"> uporablja Seznam upravičenih stroškov in najvišjih priznanih vrednosti  za 30. JR za leto 2024 (Priloga 1). Za stroške, ki so določeni v seznamu stroškov 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mora upravičenec k vlogi na javni razpis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priložiti eno ponudbo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. Upravičeni stroški se priznajo do najvišje priznane vrednosti na enoto mere.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Če vrednosti niso določene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v Seznamu upravičenih stroškov in najvišjih priznanih vrednosti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mora upravičenec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k vlogi na javni razpis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priložiti tržno primerljive pisne ponudbe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najmanj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treh ponudnikov.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tabs>
          <w:tab w:val="num" w:pos="144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A1DBA">
        <w:rPr>
          <w:rFonts w:ascii="Calibri" w:eastAsia="Times New Roman" w:hAnsi="Calibri" w:cs="Times New Roman"/>
          <w:sz w:val="24"/>
          <w:szCs w:val="24"/>
          <w:lang w:eastAsia="sl-SI"/>
        </w:rPr>
        <w:t xml:space="preserve">Na razpisu se lahko uveljavljajo </w:t>
      </w:r>
      <w:r w:rsidRPr="002A1DBA">
        <w:rPr>
          <w:rFonts w:ascii="Calibri" w:eastAsia="Calibri" w:hAnsi="Calibri" w:cs="Calibri"/>
          <w:b/>
          <w:bCs/>
          <w:sz w:val="24"/>
          <w:szCs w:val="24"/>
        </w:rPr>
        <w:t>stroški naložb</w:t>
      </w:r>
      <w:r w:rsidRPr="002A1DBA">
        <w:rPr>
          <w:rFonts w:ascii="Calibri" w:eastAsia="Calibri" w:hAnsi="Calibri" w:cs="Calibri"/>
          <w:sz w:val="24"/>
          <w:szCs w:val="24"/>
        </w:rPr>
        <w:t xml:space="preserve">, ki so nastali pred vložitvijo vloge na javni razpis, vendar ne pred 4. 8. 2023, če gre za naložbe, ki se izvajajo zaradi škode zaradi poplav in zemeljskih plazov v avgustu 2023, ki je razvidna iz ocene škode, določene v skladu z uredbo, ki ureja metodologijo za ocenjevanje škode ter </w:t>
      </w:r>
      <w:r w:rsidRPr="002A1DBA">
        <w:rPr>
          <w:rFonts w:ascii="Calibri" w:eastAsia="Calibri" w:hAnsi="Calibri" w:cs="Calibri"/>
          <w:b/>
          <w:bCs/>
          <w:sz w:val="24"/>
          <w:szCs w:val="24"/>
        </w:rPr>
        <w:t>splošni stroški</w:t>
      </w:r>
      <w:r w:rsidRPr="002A1DBA">
        <w:rPr>
          <w:rFonts w:ascii="Calibri" w:eastAsia="Calibri" w:hAnsi="Calibri" w:cs="Calibri"/>
          <w:sz w:val="24"/>
          <w:szCs w:val="24"/>
        </w:rPr>
        <w:t xml:space="preserve">, ki so neposredno povezani s pripravo in izvedbo naložbe in so nastali od 1.januarja 2014 do vložitve zadnjega zahtevka.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u w:val="single"/>
          <w:lang w:eastAsia="sl-SI"/>
        </w:rPr>
      </w:pPr>
      <w:r w:rsidRPr="002A1DBA">
        <w:rPr>
          <w:rFonts w:ascii="Calibri" w:eastAsia="Times New Roman" w:hAnsi="Calibri" w:cs="Times New Roman"/>
          <w:b/>
          <w:sz w:val="24"/>
          <w:szCs w:val="20"/>
          <w:u w:val="single"/>
          <w:lang w:eastAsia="sl-SI"/>
        </w:rPr>
        <w:t>Stopnja javne podpore</w:t>
      </w:r>
      <w:r w:rsidRPr="002A1DBA">
        <w:rPr>
          <w:rFonts w:ascii="Calibri" w:eastAsia="Times New Roman" w:hAnsi="Calibri" w:cs="Times New Roman"/>
          <w:sz w:val="24"/>
          <w:szCs w:val="20"/>
          <w:u w:val="single"/>
          <w:lang w:eastAsia="sl-SI"/>
        </w:rPr>
        <w:t xml:space="preserve"> je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u w:val="single"/>
          <w:lang w:eastAsia="sl-SI"/>
        </w:rPr>
        <w:t>50% upravičenih stroškov</w:t>
      </w:r>
      <w:r w:rsidRPr="002A1DBA">
        <w:rPr>
          <w:rFonts w:ascii="Calibri" w:eastAsia="Times New Roman" w:hAnsi="Calibri" w:cs="Times New Roman"/>
          <w:sz w:val="24"/>
          <w:szCs w:val="20"/>
          <w:u w:val="single"/>
          <w:lang w:eastAsia="sl-SI"/>
        </w:rPr>
        <w:t xml:space="preserve"> in se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u w:val="single"/>
          <w:lang w:eastAsia="sl-SI"/>
        </w:rPr>
        <w:t>poveča za</w:t>
      </w:r>
      <w:r w:rsidRPr="002A1DBA">
        <w:rPr>
          <w:rFonts w:ascii="Calibri" w:eastAsia="Times New Roman" w:hAnsi="Calibri" w:cs="Times New Roman"/>
          <w:sz w:val="24"/>
          <w:szCs w:val="20"/>
          <w:u w:val="single"/>
          <w:lang w:eastAsia="sl-SI"/>
        </w:rPr>
        <w:t xml:space="preserve">: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-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20 %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 če je KG razvrščeno v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 xml:space="preserve">OMD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-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20 %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če je naložba povezana z ukrepom iz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Ekološko kmetijstvo oz. KOPOP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in ima upravičenec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 xml:space="preserve">najmanj 50 % kmetijskih površin vključenih v enega iz med ukrepov 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>(ZV 2022)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-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20%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za naložbe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mladih kmetov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lastRenderedPageBreak/>
        <w:t xml:space="preserve">Stopnje podpore iz prejšnjega odstavka se lahko seštevajo, vendar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 xml:space="preserve">ne smejo preseči 90 % upravičenih stroškov. 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Najnižji znesek javne podpore je 2.000 eurov na posamezno vlogo. </w:t>
      </w:r>
    </w:p>
    <w:p w:rsidR="0026275E" w:rsidRDefault="0026275E" w:rsidP="0026275E"/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>Vstopni prag je 25% možnega številka točk.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 xml:space="preserve"> 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>In sicer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 xml:space="preserve"> za sklop A je to 25 točk 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>ter za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 xml:space="preserve"> sklopa B in C 30 točk. Med vlogami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, ki presežejo vstopni prag točk, se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izberejo tiste, ki dosežejo višje število točk, do porabe sredstev za posamezni sklop javnega razpisa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.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Vnos in vložitev vloge</w:t>
      </w: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 v elektronski sistem bo možen </w:t>
      </w:r>
      <w:r w:rsidRPr="002A1DBA">
        <w:rPr>
          <w:rFonts w:ascii="Calibri" w:eastAsia="Times New Roman" w:hAnsi="Calibri" w:cs="Times New Roman"/>
          <w:b/>
          <w:bCs/>
          <w:sz w:val="24"/>
          <w:szCs w:val="20"/>
          <w:lang w:eastAsia="sl-SI"/>
        </w:rPr>
        <w:t>od 25. marca do vključno 22. maja 2024.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Zadnji možni rok za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>vložitev zahtevka za izplačilo sredstev</w:t>
      </w:r>
      <w:r w:rsidRPr="002A1DBA">
        <w:rPr>
          <w:rFonts w:ascii="Calibri" w:eastAsia="Times New Roman" w:hAnsi="Calibri" w:cs="Times New Roman"/>
          <w:sz w:val="24"/>
          <w:szCs w:val="20"/>
          <w:lang w:eastAsia="sl-SI"/>
        </w:rPr>
        <w:t xml:space="preserve"> je </w:t>
      </w:r>
      <w:r w:rsidRPr="002A1DBA">
        <w:rPr>
          <w:rFonts w:ascii="Calibri" w:eastAsia="Times New Roman" w:hAnsi="Calibri" w:cs="Times New Roman"/>
          <w:b/>
          <w:sz w:val="24"/>
          <w:szCs w:val="20"/>
          <w:lang w:eastAsia="sl-SI"/>
        </w:rPr>
        <w:t xml:space="preserve">30. junij 2025. Pred vložitvijo zahtevka mora biti naložba zaključena in vsi računi plačani. </w:t>
      </w: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0"/>
          <w:lang w:eastAsia="sl-SI"/>
        </w:rPr>
      </w:pPr>
      <w:r w:rsidRPr="002A1DBA">
        <w:rPr>
          <w:rFonts w:ascii="Calibri" w:eastAsia="Times New Roman" w:hAnsi="Calibri" w:cs="Times New Roman"/>
          <w:bCs/>
          <w:sz w:val="24"/>
          <w:szCs w:val="20"/>
          <w:lang w:eastAsia="sl-SI"/>
        </w:rPr>
        <w:t xml:space="preserve">Za več informacij glede pogojev ob vložitvi vloge na javni razpis, obveznostih se obrnite na vašo kmetijsko svetovalno službo. </w:t>
      </w:r>
    </w:p>
    <w:p w:rsidR="0026275E" w:rsidRPr="002A1DBA" w:rsidRDefault="0026275E" w:rsidP="0026275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lang w:eastAsia="sl-SI"/>
        </w:rPr>
      </w:pPr>
    </w:p>
    <w:p w:rsidR="0026275E" w:rsidRPr="002A1DBA" w:rsidRDefault="0026275E" w:rsidP="0026275E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:rsidR="0026275E" w:rsidRPr="002A1DBA" w:rsidRDefault="0026275E" w:rsidP="0026275E">
      <w:pPr>
        <w:spacing w:after="0" w:line="240" w:lineRule="auto"/>
        <w:jc w:val="right"/>
        <w:rPr>
          <w:rFonts w:ascii="Calibri" w:eastAsia="Times New Roman" w:hAnsi="Calibri" w:cs="Times New Roman"/>
          <w:szCs w:val="18"/>
          <w:lang w:eastAsia="sl-SI"/>
        </w:rPr>
      </w:pPr>
      <w:r w:rsidRPr="002A1DBA">
        <w:rPr>
          <w:rFonts w:ascii="Calibri" w:eastAsia="Times New Roman" w:hAnsi="Calibri" w:cs="Times New Roman"/>
          <w:szCs w:val="18"/>
          <w:lang w:eastAsia="sl-SI"/>
        </w:rPr>
        <w:t>Barbara Kralj, mag. kmet.</w:t>
      </w:r>
    </w:p>
    <w:p w:rsidR="0026275E" w:rsidRDefault="0026275E" w:rsidP="0026275E">
      <w:bookmarkStart w:id="0" w:name="_GoBack"/>
      <w:bookmarkEnd w:id="0"/>
    </w:p>
    <w:p w:rsidR="00B72711" w:rsidRDefault="00B72711"/>
    <w:sectPr w:rsidR="00B7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5E"/>
    <w:rsid w:val="0026275E"/>
    <w:rsid w:val="00B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724A-D4E8-4999-8195-86D8B88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27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ANDREJAMK</dc:creator>
  <cp:keywords/>
  <dc:description/>
  <cp:lastModifiedBy>ANDREJAMK</cp:lastModifiedBy>
  <cp:revision>1</cp:revision>
  <dcterms:created xsi:type="dcterms:W3CDTF">2024-03-12T08:00:00Z</dcterms:created>
  <dcterms:modified xsi:type="dcterms:W3CDTF">2024-03-12T08:01:00Z</dcterms:modified>
</cp:coreProperties>
</file>