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28" w:rsidRPr="00C84F28" w:rsidRDefault="00C84F28" w:rsidP="00C84F2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 xml:space="preserve">Trpotec - krma za govedo? </w:t>
      </w:r>
    </w:p>
    <w:p w:rsidR="00C84F28" w:rsidRPr="00B42166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</w:p>
    <w:p w:rsidR="006D71DC" w:rsidRPr="00B42166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Zaradi spremenjenih vremenskih razmer, ki so posledica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podnebnih sprememb</w:t>
      </w:r>
      <w:r w:rsidR="0003106F" w:rsidRPr="00B4216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poteka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med strokovnjaki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intenzivna razprava 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o strategijah prilagajanja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>pridelav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krme. Poudarek je na povečanju gojenja rastlinskih vrst in sort, odpornih na sušo, ter večji pestrosti pri pridelavi krme.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V travni ruši trajnega travinja,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kjer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pridelujemo krmo za prežvekovalce, je poleg trav in metuljnic zaželena</w:t>
      </w:r>
      <w:r w:rsidR="0003106F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tudi prisotnost nekaterih zeli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, ki imajo dober vpliv na zauživanje krme, visoko hranilno vrednost ali c</w:t>
      </w:r>
      <w:r w:rsidR="0003106F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elo zdravilne učinke na živali. Takšni so na primer navadni potrošnik, regrat, rman in 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ozkolistni </w:t>
      </w:r>
      <w:r w:rsidR="0003106F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trpotec, ki je predmet tega prispevka. </w:t>
      </w:r>
    </w:p>
    <w:p w:rsidR="00C84F28" w:rsidRPr="00C84F28" w:rsidRDefault="0003106F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Skupaj s širokolistnim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trpotcem (</w:t>
      </w:r>
      <w:proofErr w:type="spellStart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Plantago</w:t>
      </w:r>
      <w:proofErr w:type="spellEnd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major) sodi tudi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ozkolistni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trpotec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, ki mu nekateri rečejo tudi suličasti </w:t>
      </w:r>
      <w:proofErr w:type="spellStart"/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trptec</w:t>
      </w:r>
      <w:proofErr w:type="spellEnd"/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proofErr w:type="spellStart"/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Plantago</w:t>
      </w:r>
      <w:proofErr w:type="spellEnd"/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lanceolata</w:t>
      </w:r>
      <w:proofErr w:type="spellEnd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) v družino trpotcev (</w:t>
      </w:r>
      <w:proofErr w:type="spellStart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Plantaginaceae</w:t>
      </w:r>
      <w:proofErr w:type="spellEnd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). </w:t>
      </w:r>
    </w:p>
    <w:p w:rsidR="00C84F28" w:rsidRPr="00C84F28" w:rsidRDefault="0003106F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Trpotec je trpežna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trajnica. </w:t>
      </w:r>
      <w:proofErr w:type="spellStart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Zeliščasta</w:t>
      </w:r>
      <w:proofErr w:type="spellEnd"/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rastlina zraste do 50 cm visoko. Suličasti listi so razvrščeni v bazalno rozeto. Zeleno rastlino uporabljamo od maja do oktobra. Trpotec ima dolgo korenino,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zaradi česar odlično prenaša sušo. Dobro prenaša 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tako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nizke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kot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visoke temperature in u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speva v vseh vrstah tal. Pojavlja se na travnikih, poljih, obrobjih poti in gozdov.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Medicinsko dokazani zdravilni učinki 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trpotca so bili poznani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že v antiki, trpotec 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se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uporablja predvsem kot čaj ali v čajnih mešanicah, pa tudi kot izvleček v sirupih proti kašlju in zdravilnih kremah. Najdemo ga tudi v zeliščnih mešanicah za konje na trgu krmil.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V zvezi z ocenjevanjem vsebnosti zeli v pašnih mešanicah se že dlje časa razpravlja o p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omenu trpotca za govedo in ovce.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Glavni </w:t>
      </w:r>
      <w:r w:rsidR="00A91E4C" w:rsidRPr="00B4216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pozitivni </w:t>
      </w:r>
      <w:r w:rsidRPr="00B4216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učinki </w:t>
      </w:r>
      <w:r w:rsidR="00A91E4C" w:rsidRPr="00B4216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trpotca </w:t>
      </w:r>
      <w:r w:rsidRPr="00B4216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so: </w:t>
      </w:r>
    </w:p>
    <w:p w:rsidR="00C84F28" w:rsidRPr="00C84F28" w:rsidRDefault="00A91E4C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nt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ibakterijsko, protivnetno (znan je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tudi kot "rastlinski penicilin"), </w:t>
      </w:r>
    </w:p>
    <w:p w:rsidR="00C84F28" w:rsidRPr="00C84F28" w:rsidRDefault="00C84F28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sproščujoč učinek (proti suhemu kašlju), </w:t>
      </w:r>
    </w:p>
    <w:p w:rsidR="00C84F28" w:rsidRPr="00C84F28" w:rsidRDefault="00C84F28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prot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i vnetjem sluznice (usta in grlo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, dihala), </w:t>
      </w:r>
    </w:p>
    <w:p w:rsidR="00C84F28" w:rsidRPr="00C84F28" w:rsidRDefault="00C84F28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pospeševanje strjevanja krvi, </w:t>
      </w:r>
    </w:p>
    <w:p w:rsidR="00C84F28" w:rsidRPr="00C84F28" w:rsidRDefault="00C84F28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spodbuja </w:t>
      </w:r>
      <w:proofErr w:type="spellStart"/>
      <w:r w:rsidRPr="00C84F28">
        <w:rPr>
          <w:rFonts w:ascii="Arial" w:eastAsia="Times New Roman" w:hAnsi="Arial" w:cs="Arial"/>
          <w:sz w:val="24"/>
          <w:szCs w:val="24"/>
          <w:lang w:eastAsia="sl-SI"/>
        </w:rPr>
        <w:t>epitelizacijo</w:t>
      </w:r>
      <w:proofErr w:type="spellEnd"/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med celjenjem ran, </w:t>
      </w:r>
    </w:p>
    <w:p w:rsidR="00C84F28" w:rsidRPr="00C84F28" w:rsidRDefault="00C84F28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zaščitni učinek na jetra (npr. proti mikotoksinom), </w:t>
      </w:r>
    </w:p>
    <w:p w:rsidR="00C84F28" w:rsidRPr="00C84F28" w:rsidRDefault="00A91E4C" w:rsidP="00C84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v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pliv na presnovo dušika in beljakovin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zaviranje nitrifikacije. </w:t>
      </w:r>
    </w:p>
    <w:p w:rsidR="00C84F28" w:rsidRPr="00C84F28" w:rsidRDefault="00A91E4C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Ocena krmne vrednosti – okusnost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je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za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ozkolistni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trpotec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določena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kot 6 (0 = strupeno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8 = zelo dobro za uživanje, npr. ljulj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>k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a). </w:t>
      </w:r>
    </w:p>
    <w:p w:rsidR="00C84F28" w:rsidRPr="00C84F28" w:rsidRDefault="007F67F0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Ocena </w:t>
      </w:r>
      <w:r w:rsidR="00A91E4C" w:rsidRPr="00B42166">
        <w:rPr>
          <w:rFonts w:ascii="Arial" w:eastAsia="Times New Roman" w:hAnsi="Arial" w:cs="Arial"/>
          <w:sz w:val="24"/>
          <w:szCs w:val="24"/>
          <w:lang w:eastAsia="sl-SI"/>
        </w:rPr>
        <w:t>»V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rednosti ekološkega indikatorja«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- trpotec je uv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rščen med »indikator vlage« 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z oceno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>2-5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gre za 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pojavnost rastlin glede na vlažnosti tal, kjer 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ocena 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1 pomeni zelo suha, 5 srednje vlažna tla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9 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pa 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pomeni premočeno zemljo, ki je slab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>o preskrbljena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z zrakom).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Iz vsega tega lahko sklepamo, da je trpotec zelo prilagodljiv tako na zahteve tal kot na vodne razmere.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Sesta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va hranil 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trpotca 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>je prikazana v tabeli:</w:t>
      </w:r>
    </w:p>
    <w:tbl>
      <w:tblPr>
        <w:tblW w:w="10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667"/>
        <w:gridCol w:w="30"/>
        <w:gridCol w:w="1559"/>
        <w:gridCol w:w="993"/>
        <w:gridCol w:w="91"/>
        <w:gridCol w:w="2039"/>
        <w:gridCol w:w="30"/>
        <w:gridCol w:w="953"/>
      </w:tblGrid>
      <w:tr w:rsidR="00C84F28" w:rsidRPr="00C84F28" w:rsidTr="00B42166">
        <w:trPr>
          <w:gridAfter w:val="1"/>
          <w:wAfter w:w="908" w:type="dxa"/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 % 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zelena krma </w:t>
            </w:r>
          </w:p>
        </w:tc>
        <w:tc>
          <w:tcPr>
            <w:tcW w:w="667" w:type="dxa"/>
            <w:gridSpan w:val="2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listi </w:t>
            </w:r>
          </w:p>
        </w:tc>
        <w:tc>
          <w:tcPr>
            <w:tcW w:w="2613" w:type="dxa"/>
            <w:gridSpan w:val="3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cvetenje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seno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C84F28" w:rsidRPr="00C84F28" w:rsidTr="00B42166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suha snov 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18-24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100 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100 </w:t>
            </w:r>
          </w:p>
        </w:tc>
        <w:tc>
          <w:tcPr>
            <w:tcW w:w="3068" w:type="dxa"/>
            <w:gridSpan w:val="4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left="587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87-89 </w:t>
            </w:r>
          </w:p>
        </w:tc>
      </w:tr>
      <w:tr w:rsidR="00C84F28" w:rsidRPr="00C84F28" w:rsidTr="00B42166">
        <w:trPr>
          <w:gridAfter w:val="2"/>
          <w:wAfter w:w="938" w:type="dxa"/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surove beljakovine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2,2-2,5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13,9 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20,7 </w:t>
            </w:r>
          </w:p>
        </w:tc>
        <w:tc>
          <w:tcPr>
            <w:tcW w:w="3093" w:type="dxa"/>
            <w:gridSpan w:val="3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left="821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11,1-17,1 </w:t>
            </w:r>
          </w:p>
        </w:tc>
      </w:tr>
      <w:tr w:rsidR="00C84F28" w:rsidRPr="00C84F28" w:rsidTr="00B42166">
        <w:trPr>
          <w:gridAfter w:val="2"/>
          <w:wAfter w:w="938" w:type="dxa"/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urova maščoba 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0,0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2,8 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2,2 </w:t>
            </w:r>
          </w:p>
        </w:tc>
        <w:tc>
          <w:tcPr>
            <w:tcW w:w="3093" w:type="dxa"/>
            <w:gridSpan w:val="3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left="821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2,2 </w:t>
            </w:r>
          </w:p>
        </w:tc>
      </w:tr>
      <w:tr w:rsidR="00C84F28" w:rsidRPr="00C84F28" w:rsidTr="00B42166">
        <w:trPr>
          <w:gridAfter w:val="2"/>
          <w:wAfter w:w="938" w:type="dxa"/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surove vlaknine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5,1-9,0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11,7 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18,4 </w:t>
            </w:r>
          </w:p>
        </w:tc>
        <w:tc>
          <w:tcPr>
            <w:tcW w:w="3093" w:type="dxa"/>
            <w:gridSpan w:val="3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left="821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15,7-40,1 </w:t>
            </w:r>
          </w:p>
        </w:tc>
      </w:tr>
      <w:tr w:rsidR="00C84F28" w:rsidRPr="00C84F28" w:rsidTr="00B42166">
        <w:trPr>
          <w:gridAfter w:val="2"/>
          <w:wAfter w:w="938" w:type="dxa"/>
          <w:tblCellSpacing w:w="15" w:type="dxa"/>
        </w:trPr>
        <w:tc>
          <w:tcPr>
            <w:tcW w:w="2507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Surovi pepel </w:t>
            </w:r>
          </w:p>
        </w:tc>
        <w:tc>
          <w:tcPr>
            <w:tcW w:w="1671" w:type="dxa"/>
            <w:vAlign w:val="center"/>
            <w:hideMark/>
          </w:tcPr>
          <w:p w:rsidR="00C84F28" w:rsidRPr="00C84F28" w:rsidRDefault="00C84F28" w:rsidP="00B42166">
            <w:pPr>
              <w:spacing w:after="0" w:line="240" w:lineRule="auto"/>
              <w:ind w:left="127" w:hanging="127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1,4-1,8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16,0 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12,3 </w:t>
            </w:r>
          </w:p>
        </w:tc>
        <w:tc>
          <w:tcPr>
            <w:tcW w:w="3093" w:type="dxa"/>
            <w:gridSpan w:val="3"/>
            <w:vAlign w:val="center"/>
            <w:hideMark/>
          </w:tcPr>
          <w:p w:rsidR="00C84F28" w:rsidRPr="00C84F28" w:rsidRDefault="00C84F28" w:rsidP="007F67F0">
            <w:pPr>
              <w:spacing w:after="0" w:line="240" w:lineRule="auto"/>
              <w:ind w:left="821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7,4-9,8 </w:t>
            </w:r>
          </w:p>
        </w:tc>
      </w:tr>
    </w:tbl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Trpotec vsebuje velike količine kalcija, natrija in kalija. </w:t>
      </w:r>
    </w:p>
    <w:p w:rsidR="00C84F28" w:rsidRPr="00C84F28" w:rsidRDefault="007F67F0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42166">
        <w:rPr>
          <w:rFonts w:ascii="Arial" w:eastAsia="Times New Roman" w:hAnsi="Arial" w:cs="Arial"/>
          <w:sz w:val="24"/>
          <w:szCs w:val="24"/>
          <w:lang w:eastAsia="sl-SI"/>
        </w:rPr>
        <w:t>Raziskave p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>oročajo</w:t>
      </w:r>
      <w:r w:rsidR="00B42166" w:rsidRPr="00B42166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da lahko trpotec doseže do 6,8 MJ NEL na kg suhe snovi in ​​da mora biti pogostost uporabe zelo visoka, saj se krmna vrednost drastično zmanjša, ko poženejo</w:t>
      </w:r>
      <w:r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>socvetja</w:t>
      </w:r>
      <w:r w:rsidR="00C84F28"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V trpotcu so našli vrsto sekundarnih rastlinskih sestavin: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2650"/>
      </w:tblGrid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7F67F0" w:rsidP="007F6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avk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ubin</w:t>
            </w:r>
            <w:proofErr w:type="spellEnd"/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0,3-2,5%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atalpol</w:t>
            </w:r>
            <w:proofErr w:type="spellEnd"/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0,3-1,0%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f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eniletanoid</w:t>
            </w:r>
            <w:proofErr w:type="spellEnd"/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3,0-8,0%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sluz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2,0-6,0%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ofeinska kislina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3,0-8,0%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tanini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6,0-7,0%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silicijev dioksid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1,0-1,5 % </w:t>
            </w:r>
            <w:r w:rsidR="007F67F0"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(</w:t>
            </w: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samo v listih</w:t>
            </w:r>
            <w:r w:rsidR="007F67F0"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)</w:t>
            </w: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C84F28" w:rsidRPr="00C84F28" w:rsidTr="00C84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28" w:rsidRPr="00C84F28" w:rsidRDefault="007F67F0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aponini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0,2-1,0% </w:t>
            </w:r>
          </w:p>
        </w:tc>
      </w:tr>
    </w:tbl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Najpomembnejša 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sestavina je </w:t>
      </w:r>
      <w:proofErr w:type="spellStart"/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>av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>kubin</w:t>
      </w:r>
      <w:proofErr w:type="spellEnd"/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, njegov antimikrobni učinek je najbolj raziskan in kaže jasne razlike v vsebnosti med različnimi izvori (tudi sortami). Učinke trpotca na posamezne reakcije živali pripisujemo predvsem delovanju </w:t>
      </w:r>
      <w:proofErr w:type="spellStart"/>
      <w:r w:rsidRPr="00C84F28">
        <w:rPr>
          <w:rFonts w:ascii="Arial" w:eastAsia="Times New Roman" w:hAnsi="Arial" w:cs="Arial"/>
          <w:sz w:val="24"/>
          <w:szCs w:val="24"/>
          <w:lang w:eastAsia="sl-SI"/>
        </w:rPr>
        <w:t>avkubina</w:t>
      </w:r>
      <w:proofErr w:type="spellEnd"/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V ZDA, Avstraliji in predvsem na Novi Zelandiji se trpotec uporablja kot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krma za živino. Je del travne ruše pašnikov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z 10 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>do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15 %, vendar se tudi silira in krmi v kombinaciji s travno silažo. 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>N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a Novi Zelandiji 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ga 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>pridelujejo</w:t>
      </w:r>
      <w:r w:rsidR="007F67F0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>z namenom, da postane zelena krm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>na rastlina za govedo. C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ilj 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žlahtnjenja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je ustvariti sorte z visokim deležem listne mase.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Krave molznice, ki so bile krmljene s 30 % trpotca v 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>SS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 obroka, so imele bistveno manjše izločanje dušika z urinom, vnos krme je bil normalen, količina mleka in mlečne sestavine pa nespremenjene. Paša travne mešanice s trpotcem je povzročila 19% zmanjšanje vsebnosti dušika v urinu pri kravah molznicah.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Poskusi so bili izvedeni tudi na Novi Zelandiji, v katerih so pašno travo 100% nadomestili s trpotcem in ni prišlo do 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 xml:space="preserve">nikakršnih 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zapletov.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Za učinek trpotca v obrokih za ovce in krave molznice </w:t>
      </w:r>
      <w:r w:rsidR="002F4F18" w:rsidRPr="00B42166">
        <w:rPr>
          <w:rFonts w:ascii="Arial" w:eastAsia="Times New Roman" w:hAnsi="Arial" w:cs="Arial"/>
          <w:sz w:val="24"/>
          <w:szCs w:val="24"/>
          <w:lang w:eastAsia="sl-SI"/>
        </w:rPr>
        <w:t>po</w:t>
      </w:r>
      <w:r w:rsidRPr="00C84F28">
        <w:rPr>
          <w:rFonts w:ascii="Arial" w:eastAsia="Times New Roman" w:hAnsi="Arial" w:cs="Arial"/>
          <w:sz w:val="24"/>
          <w:szCs w:val="24"/>
          <w:lang w:eastAsia="sl-SI"/>
        </w:rPr>
        <w:t xml:space="preserve">glejte naslednjo tabelo. </w:t>
      </w:r>
    </w:p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Učinek krmnih obrokov z rebrastim trpotcem na prežvekovalce </w:t>
      </w:r>
      <w:r w:rsidRPr="00C84F28">
        <w:rPr>
          <w:rFonts w:ascii="Arial" w:eastAsia="Times New Roman" w:hAnsi="Arial" w:cs="Arial"/>
          <w:lang w:eastAsia="sl-SI"/>
        </w:rPr>
        <w:t>(</w:t>
      </w:r>
      <w:proofErr w:type="spellStart"/>
      <w:r w:rsidRPr="00C84F28">
        <w:rPr>
          <w:rFonts w:ascii="Arial" w:eastAsia="Times New Roman" w:hAnsi="Arial" w:cs="Arial"/>
          <w:lang w:eastAsia="sl-SI"/>
        </w:rPr>
        <w:t>Komainda</w:t>
      </w:r>
      <w:proofErr w:type="spellEnd"/>
      <w:r w:rsidRPr="00C84F28">
        <w:rPr>
          <w:rFonts w:ascii="Arial" w:eastAsia="Times New Roman" w:hAnsi="Arial" w:cs="Arial"/>
          <w:lang w:eastAsia="sl-SI"/>
        </w:rPr>
        <w:t xml:space="preserve">, M. et </w:t>
      </w:r>
      <w:proofErr w:type="spellStart"/>
      <w:r w:rsidRPr="00C84F28">
        <w:rPr>
          <w:rFonts w:ascii="Arial" w:eastAsia="Times New Roman" w:hAnsi="Arial" w:cs="Arial"/>
          <w:lang w:eastAsia="sl-SI"/>
        </w:rPr>
        <w:t>al</w:t>
      </w:r>
      <w:proofErr w:type="spellEnd"/>
      <w:r w:rsidRPr="00C84F28">
        <w:rPr>
          <w:rFonts w:ascii="Arial" w:eastAsia="Times New Roman" w:hAnsi="Arial" w:cs="Arial"/>
          <w:lang w:eastAsia="sl-SI"/>
        </w:rPr>
        <w:t xml:space="preserve">. 2020)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398"/>
        <w:gridCol w:w="2846"/>
      </w:tblGrid>
      <w:tr w:rsidR="00C84F28" w:rsidRPr="00C84F28" w:rsidTr="002F4F18">
        <w:trPr>
          <w:tblHeader/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Učinek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živalske vrste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2F4F1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Vir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povečan vnos krme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ovce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Robertson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1995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2F4F1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protiparazitni</w:t>
            </w:r>
            <w:proofErr w:type="spellEnd"/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učinek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ovce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Judson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2019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povečana proizvodnja mleka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ovce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Kenyon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2010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2F4F18" w:rsidP="002F4F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povečan dnevni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B4216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prirast</w:t>
            </w:r>
            <w:r w:rsidR="00C84F28"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telesne mase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pitanje jagnjet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Kemp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2013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manjše izločanje dušika v urinu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Krave molznice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Tony idr. 2013 in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Cheng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2017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izboljšana sestava mlečne maščobe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Krave molznice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Ineichen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2009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izboljšana učinkovitost uporabe dušika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Krave molznice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Pombleton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2016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nižje emisije dušikovega oksida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Krave molznice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Simon idr. 2019 </w:t>
            </w:r>
          </w:p>
        </w:tc>
      </w:tr>
      <w:tr w:rsidR="00C84F28" w:rsidRPr="00C84F28" w:rsidTr="002F4F18">
        <w:trPr>
          <w:tblCellSpacing w:w="15" w:type="dxa"/>
          <w:jc w:val="center"/>
        </w:trPr>
        <w:tc>
          <w:tcPr>
            <w:tcW w:w="3783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manjše izpiranje nitratov </w:t>
            </w:r>
          </w:p>
        </w:tc>
        <w:tc>
          <w:tcPr>
            <w:tcW w:w="2368" w:type="dxa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C84F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Krave molznice </w:t>
            </w:r>
          </w:p>
        </w:tc>
        <w:tc>
          <w:tcPr>
            <w:tcW w:w="0" w:type="auto"/>
            <w:vAlign w:val="center"/>
            <w:hideMark/>
          </w:tcPr>
          <w:p w:rsidR="00C84F28" w:rsidRPr="00C84F28" w:rsidRDefault="00C84F28" w:rsidP="00C84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Judson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et </w:t>
            </w:r>
            <w:proofErr w:type="spellStart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</w:t>
            </w:r>
            <w:proofErr w:type="spellEnd"/>
            <w:r w:rsidRPr="00C84F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2018 </w:t>
            </w:r>
          </w:p>
        </w:tc>
      </w:tr>
    </w:tbl>
    <w:p w:rsidR="00C84F28" w:rsidRPr="00C84F28" w:rsidRDefault="00C84F28" w:rsidP="00C8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2F4F18" w:rsidRPr="00B42166" w:rsidRDefault="00C84F28" w:rsidP="00FC7AE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84F28">
        <w:rPr>
          <w:rFonts w:ascii="Arial" w:eastAsia="Times New Roman" w:hAnsi="Arial" w:cs="Arial"/>
          <w:sz w:val="24"/>
          <w:szCs w:val="24"/>
          <w:lang w:eastAsia="sl-SI"/>
        </w:rPr>
        <w:t> </w:t>
      </w:r>
      <w:r w:rsidR="002F4F18" w:rsidRPr="00B42166">
        <w:rPr>
          <w:rFonts w:ascii="Arial" w:hAnsi="Arial" w:cs="Arial"/>
          <w:sz w:val="24"/>
          <w:szCs w:val="24"/>
        </w:rPr>
        <w:t xml:space="preserve">Prispevek je namenjen razmisleku o možnostih povečanja deleža ozkolistnega trpotca v sestavi travne ruše vaših travnikov ali pašnikov. </w:t>
      </w:r>
    </w:p>
    <w:p w:rsidR="002F4F18" w:rsidRPr="00B42166" w:rsidRDefault="002F4F18" w:rsidP="00C84F28">
      <w:pPr>
        <w:jc w:val="both"/>
        <w:rPr>
          <w:rFonts w:ascii="Arial" w:hAnsi="Arial" w:cs="Arial"/>
          <w:sz w:val="24"/>
          <w:szCs w:val="24"/>
        </w:rPr>
      </w:pPr>
    </w:p>
    <w:p w:rsidR="008B3700" w:rsidRPr="00FC7AEA" w:rsidRDefault="00A91E4C" w:rsidP="00C84F28">
      <w:pPr>
        <w:jc w:val="both"/>
        <w:rPr>
          <w:rStyle w:val="articleauthor"/>
          <w:rFonts w:ascii="Arial" w:hAnsi="Arial" w:cs="Arial"/>
        </w:rPr>
      </w:pPr>
      <w:r w:rsidRPr="00FC7AEA">
        <w:rPr>
          <w:rFonts w:ascii="Arial" w:hAnsi="Arial" w:cs="Arial"/>
        </w:rPr>
        <w:t xml:space="preserve">Povzeto po prispevku </w:t>
      </w:r>
      <w:r w:rsidRPr="00FC7AEA">
        <w:rPr>
          <w:rStyle w:val="articleauthor"/>
          <w:rFonts w:ascii="Arial" w:hAnsi="Arial" w:cs="Arial"/>
        </w:rPr>
        <w:t xml:space="preserve">prof. dr. Manfred </w:t>
      </w:r>
      <w:proofErr w:type="spellStart"/>
      <w:r w:rsidRPr="00FC7AEA">
        <w:rPr>
          <w:rStyle w:val="articleauthor"/>
          <w:rFonts w:ascii="Arial" w:hAnsi="Arial" w:cs="Arial"/>
        </w:rPr>
        <w:t>Hoffmann</w:t>
      </w:r>
      <w:proofErr w:type="spellEnd"/>
      <w:r w:rsidRPr="00FC7AEA">
        <w:rPr>
          <w:rStyle w:val="articleauthor"/>
          <w:rFonts w:ascii="Arial" w:hAnsi="Arial" w:cs="Arial"/>
        </w:rPr>
        <w:t xml:space="preserve">, LKV </w:t>
      </w:r>
      <w:proofErr w:type="spellStart"/>
      <w:r w:rsidRPr="00FC7AEA">
        <w:rPr>
          <w:rStyle w:val="articleauthor"/>
          <w:rFonts w:ascii="Arial" w:hAnsi="Arial" w:cs="Arial"/>
        </w:rPr>
        <w:t>Sachen</w:t>
      </w:r>
      <w:proofErr w:type="spellEnd"/>
      <w:r w:rsidRPr="00FC7AEA">
        <w:rPr>
          <w:rStyle w:val="articleauthor"/>
          <w:rFonts w:ascii="Arial" w:hAnsi="Arial" w:cs="Arial"/>
        </w:rPr>
        <w:t>, 2023.</w:t>
      </w:r>
    </w:p>
    <w:p w:rsidR="00B42166" w:rsidRDefault="00B42166" w:rsidP="00C84F28">
      <w:pPr>
        <w:jc w:val="both"/>
        <w:rPr>
          <w:rStyle w:val="articleauthor"/>
          <w:rFonts w:ascii="Arial" w:hAnsi="Arial" w:cs="Arial"/>
          <w:sz w:val="24"/>
          <w:szCs w:val="24"/>
        </w:rPr>
      </w:pPr>
    </w:p>
    <w:p w:rsidR="00FC7AEA" w:rsidRPr="00B42166" w:rsidRDefault="00FC7AEA" w:rsidP="00C84F28">
      <w:pPr>
        <w:jc w:val="both"/>
        <w:rPr>
          <w:rStyle w:val="articleauthor"/>
          <w:rFonts w:ascii="Arial" w:hAnsi="Arial" w:cs="Arial"/>
          <w:sz w:val="24"/>
          <w:szCs w:val="24"/>
        </w:rPr>
      </w:pPr>
    </w:p>
    <w:p w:rsidR="00B42166" w:rsidRPr="00B42166" w:rsidRDefault="00B42166" w:rsidP="00C84F28">
      <w:pPr>
        <w:jc w:val="both"/>
        <w:rPr>
          <w:rStyle w:val="articleauthor"/>
          <w:rFonts w:ascii="Arial" w:hAnsi="Arial" w:cs="Arial"/>
          <w:sz w:val="24"/>
          <w:szCs w:val="24"/>
        </w:rPr>
      </w:pPr>
    </w:p>
    <w:p w:rsidR="00B42166" w:rsidRPr="00B42166" w:rsidRDefault="00B42166" w:rsidP="00C84F28">
      <w:pPr>
        <w:jc w:val="both"/>
        <w:rPr>
          <w:rFonts w:ascii="Arial" w:hAnsi="Arial" w:cs="Arial"/>
          <w:sz w:val="24"/>
          <w:szCs w:val="24"/>
        </w:rPr>
      </w:pPr>
      <w:r w:rsidRPr="00B42166">
        <w:rPr>
          <w:rStyle w:val="articleauthor"/>
          <w:rFonts w:ascii="Arial" w:hAnsi="Arial" w:cs="Arial"/>
          <w:sz w:val="24"/>
          <w:szCs w:val="24"/>
        </w:rPr>
        <w:t xml:space="preserve">Pripravila: Andreja Marguč </w:t>
      </w:r>
      <w:proofErr w:type="spellStart"/>
      <w:r w:rsidRPr="00B42166">
        <w:rPr>
          <w:rStyle w:val="articleauthor"/>
          <w:rFonts w:ascii="Arial" w:hAnsi="Arial" w:cs="Arial"/>
          <w:sz w:val="24"/>
          <w:szCs w:val="24"/>
        </w:rPr>
        <w:t>Kavc</w:t>
      </w:r>
      <w:proofErr w:type="spellEnd"/>
      <w:r w:rsidRPr="00B42166">
        <w:rPr>
          <w:rStyle w:val="articleauthor"/>
          <w:rFonts w:ascii="Arial" w:hAnsi="Arial" w:cs="Arial"/>
          <w:sz w:val="24"/>
          <w:szCs w:val="24"/>
        </w:rPr>
        <w:t>, svet. spec. za travništvo in pašništvo</w:t>
      </w:r>
    </w:p>
    <w:sectPr w:rsidR="00B42166" w:rsidRPr="00B4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02ED"/>
    <w:multiLevelType w:val="multilevel"/>
    <w:tmpl w:val="BF1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28"/>
    <w:rsid w:val="0003106F"/>
    <w:rsid w:val="002F4F18"/>
    <w:rsid w:val="006D71DC"/>
    <w:rsid w:val="007F67F0"/>
    <w:rsid w:val="008B3700"/>
    <w:rsid w:val="00A91E4C"/>
    <w:rsid w:val="00B42166"/>
    <w:rsid w:val="00C84F28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4ADC-3AB7-49EB-AD92-E60E1F86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84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4F2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8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84F28"/>
    <w:rPr>
      <w:b/>
      <w:bCs/>
    </w:rPr>
  </w:style>
  <w:style w:type="character" w:customStyle="1" w:styleId="articleauthor">
    <w:name w:val="article__author"/>
    <w:basedOn w:val="Privzetapisavaodstavka"/>
    <w:rsid w:val="00A9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ANDREJAMK</dc:creator>
  <cp:keywords/>
  <dc:description/>
  <cp:lastModifiedBy>ANDREJAMK</cp:lastModifiedBy>
  <cp:revision>1</cp:revision>
  <dcterms:created xsi:type="dcterms:W3CDTF">2024-03-06T08:50:00Z</dcterms:created>
  <dcterms:modified xsi:type="dcterms:W3CDTF">2024-03-06T10:09:00Z</dcterms:modified>
</cp:coreProperties>
</file>